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TierZG 2019 — Anerkennung von Zuchtverbänden und Zuchtunternehmen</w:t>
      </w:r>
    </w:p>
    <w:p>
      <w:r>
        <w:rPr>
          <w:color w:val="555555"/>
          <w:sz w:val="18"/>
        </w:rPr>
        <w:t xml:space="preserve">Tierzuchtgesetz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Zuchtverband oder Zuchtunternehmen wird von der zuständigen Behörde anerkannt, wer die Anforderungen nach Artikel 4 Absatz 3 Satz 2 der Verordnung (EU) 2016/1012 erfüllt.</w:t>
      </w:r>
    </w:p>
    <w:p>
      <w:r>
        <w:t xml:space="preserve">(2) Der Antrag auf Anerkennung eines Zuchtverbandes oder eines Zuchtunternehmens muss ergänzend zu den in Artikel 4 Absatz 3 Satz 2 der Verordnung (EU) 2016/1012 genannten Nachweisen und Unterlagen die folgenden Angaben enthalten:</w:t>
      </w:r>
    </w:p>
    <w:p>
      <w:pPr>
        <w:ind w:left="420"/>
      </w:pPr>
      <w:r>
        <w:t xml:space="preserve">1. den Namen, die Anschrift und die Angabe der Rechtsform des Zuchtverbandes oder des Zuchtunternehmens sowie die Namen und die Anschriften der zur Vertretung befugten Personen;</w:t>
      </w:r>
    </w:p>
    <w:p>
      <w:pPr>
        <w:ind w:left="420"/>
      </w:pPr>
      <w:r>
        <w:t xml:space="preserve">2. Angaben zu der für die Zuchtarbeit verantwortlichen Person (Zuchtleiterin oder Zuchtleiter);</w:t>
      </w:r>
    </w:p>
    <w:p>
      <w:pPr>
        <w:ind w:left="420"/>
      </w:pPr>
      <w:r>
        <w:t xml:space="preserve">3. die Namen und die Anschriften des Hauptsitzes und der Geschäftsstellen des Zuchtverbandes oder des Hauptsitzes, der Geschäftsstellen und Betriebsstätten des Zuchtunternehmens sowie Angaben zu den Aufgaben der Betriebsstätten.</w:t>
      </w:r>
    </w:p>
    <w:p>
      <w:r>
        <w:t xml:space="preserve">(2a) Die Satzung des Zuchtverbandes muss</w:t>
      </w:r>
    </w:p>
    <w:p>
      <w:pPr>
        <w:ind w:left="420"/>
      </w:pPr>
      <w:r>
        <w:t xml:space="preserve">1. die grundlegenden Entscheidungen zur Zucht darstellen und</w:t>
      </w:r>
    </w:p>
    <w:p>
      <w:pPr>
        <w:ind w:left="420"/>
      </w:pPr>
      <w:r>
        <w:t xml:space="preserve">2. sicherstellen, dass nur die Züchter über die züchterischen Belange des Zuchtverbandes entscheiden können, sofern die Satzung eine Mitgliedschaft vorsieht.</w:t>
      </w:r>
    </w:p>
    <w:p>
      <w:r>
        <w:t xml:space="preserve">(3) Soweit es für die Entscheidung erforderlich ist, kann die zuständige Behörde nach Anhörung des Antragstellers und auf dessen Kosten Gutachten über das Vorliegen einzelner Anerkennungsvoraussetzungen einholen.</w:t>
      </w:r>
    </w:p>
    <w:p>
      <w:r>
        <w:t xml:space="preserve">(4) Der Zuchtverband oder das Zuchtunternehmen hat der zuständigen Behörde Änderungen, die sich auf Angaben nach Absatz 2 oder Anforderungen nach Anhang I Teil 1 der Verordnung (EU) 2016/1012 beziehen, unverzüglich mitzuteilen. Änderungen, die sich auf Angaben nach Absatz 2 Nummer 2, auf Anforderungen nach Anhang I Teil 1 der Verordnung (EU) 2016/1012 oder auf die in der Satzung festgelegten grundlegenden Bestimmungen zur Zucht beziehen, bedürfen vor ihrem Vollzug der Zustimmung der anerkennenden Behörde.</w:t>
      </w:r>
    </w:p>
    <w:p>
      <w:r>
        <w:t xml:space="preserve">(5) Wer im Rechtsverkehr als anerkannter Zuchtverband oder anerkanntes Zuchtunternehmen auftritt, bedarf der Anerkennung nach Artikel 4 Absatz 3 Satz 2 der Verordnung (EU) 2016/1012.</w:t>
      </w:r>
    </w:p>
    <w:p>
      <w:r>
        <w:rPr>
          <w:color w:val="555555"/>
          <w:sz w:val="17"/>
        </w:rPr>
        <w:t xml:space="preserve">Zitiervorschlag: § 4 TierZG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https://recht.nulegal.eu/gesetze/TierZG%202019/4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