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TierZG 2019 — Verordnungsermächtigungen zur Aufhebung von Rechtsvorschriften und zur Anpassung an das Unionsrecht</w:t>
      </w:r>
    </w:p>
    <w:p>
      <w:r>
        <w:rPr>
          <w:color w:val="555555"/>
          <w:sz w:val="18"/>
        </w:rPr>
        <w:t xml:space="preserve">Tierzuchtgesetz</w:t>
      </w:r>
    </w:p>
    <w:p>
      <w:r>
        <w:rPr>
          <w:color w:val="555555"/>
          <w:sz w:val="18"/>
        </w:rPr>
        <w:t xml:space="preserve">Stand: 10.06.2019 (konsolidierte Textfassung, kein amtliches Inkrafttretensdatum)</w:t>
      </w:r>
    </w:p>
    <w:p>
      <w:r>
        <w:t xml:space="preserve">(1) Soweit durch Änderungen dieses Gesetzes Ermächtigungen zum Erlass von Rechtsverordnungen des Bundes fortgefallen sind, können Vorschriften, die auf solche Ermächtigungen gestützt sind, durch Rechtsverordnung des Bundesministeriums für Ernährung und Landwirtschaft mit Zustimmung des Bundesrates aufgehoben werden.</w:t>
      </w:r>
    </w:p>
    <w:p>
      <w:r>
        <w:t xml:space="preserve">(2) Soweit durch Änderungen dieses Gesetzes oder durch Änderungen von Rechtsverordnungen, die aufgrund dieses Gesetzes erlassen worden sind, Ermächtigungen zum Erlass von Rechtsverordnungen der Länder fortgefallen sind, werden die Landesregierungen ermächtigt, Vorschriften, die auf solche Ermächtigungen gestützt sind, aufzuheben.</w:t>
      </w:r>
    </w:p>
    <w:p>
      <w:r>
        <w:t xml:space="preserve">(3) Das Bundesministerium für Ernährung und Landwirtschaft wird ermächtigt, durch Rechtsverordnung ohne Zustimmung des Bundesrates Verweisungen auf Vorschriften des Unionsrechts in diesem Gesetz zu ändern, soweit es zur Anpassung an Änderungen dieser Vorschriften erforderlich ist.</w:t>
      </w:r>
    </w:p>
    <w:p>
      <w:r>
        <w:rPr>
          <w:color w:val="555555"/>
          <w:sz w:val="17"/>
        </w:rPr>
        <w:t xml:space="preserve">Zitiervorschlag: § 28 TierZG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https://recht.nulegal.eu/gesetze/TierZG%202019/28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