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25 TierZG 2019 — Rechtsverordnungen in besonderen Fällen</w:t>
      </w:r>
    </w:p>
    <w:p>
      <w:r>
        <w:rPr>
          <w:color w:val="555555"/>
          <w:sz w:val="18"/>
        </w:rPr>
        <w:t xml:space="preserve">Tierzuchtgesetz</w:t>
      </w:r>
    </w:p>
    <w:p>
      <w:r>
        <w:rPr>
          <w:color w:val="555555"/>
          <w:sz w:val="18"/>
        </w:rPr>
        <w:t xml:space="preserve">Stand: 10.06.2019 (konsolidierte Textfassung, kein amtliches Inkrafttretensdatum)</w:t>
      </w:r>
    </w:p>
    <w:p>
      <w:r>
        <w:t xml:space="preserve">(1) Das Bundesministerium für Ernährung und Landwirtschaft kann Rechtsverordnungen nach diesem Gesetz ohne Zustimmung des Bundesrates erlassen, wenn ihr unverzügliches Inkrafttreten zur Umsetzung oder Durchführung von Rechtsakten der Europäischen Union auf dem Gebiet der Tierzucht erforderlich ist. Rechtsverordnungen nach Satz 1 treten spätestens sechs Monate nach ihrem Inkrafttreten außer Kraft; ihre Geltungsdauer kann nur mit Zustimmung des Bundesrates verlängert werden.</w:t>
      </w:r>
    </w:p>
    <w:p>
      <w:r>
        <w:t xml:space="preserve">(2) Soweit durch dieses Gesetz oder aufgrund dieses Gesetzes die Landesregierungen zum Erlass von Rechtsverordnungen befugt sind, können sie die Ermächtigungen durch Rechtsverordnung auf die zuständigen obersten Landesbehörden übertragen.</w:t>
      </w:r>
    </w:p>
    <w:p>
      <w:r>
        <w:rPr>
          <w:color w:val="555555"/>
          <w:sz w:val="17"/>
        </w:rPr>
        <w:t xml:space="preserve">Zitiervorschlag: § 25 TierZG 2019</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https://recht.nulegal.eu/gesetze/TierZG%202019/25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