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TierZG 2019 — Verordnungsermächtigungen</w:t>
      </w:r>
    </w:p>
    <w:p>
      <w:r>
        <w:rPr>
          <w:color w:val="555555"/>
          <w:sz w:val="18"/>
        </w:rPr>
        <w:t xml:space="preserve">Tierzuchtgesetz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für Ernährung und Landwirtschaft wird ermächtigt, durch Rechtsverordnung mit Zustimmung des Bundesrates</w:t>
      </w:r>
    </w:p>
    <w:p>
      <w:pPr>
        <w:ind w:left="420"/>
      </w:pPr>
      <w:r>
        <w:t xml:space="preserve">1. die näheren Anforderungen an Art, Inhalt, Umfang und Aufbewahrung der Aufzeichnungen nach § 15 Absatz 3 und 4, § 17 Absatz 2 Satz 1 und 4 sowie § 18 Absatz 8 festzulegen,</w:t>
      </w:r>
    </w:p>
    <w:p>
      <w:pPr>
        <w:ind w:left="420"/>
      </w:pPr>
      <w:r>
        <w:t xml:space="preserve">2. die Zulassungsvoraussetzungen sowie Anforderungen, Dauer und Abschluss der Lehrgänge und Kurzlehrgänge über künstliche Besamung und Embryotransfer sowie jeweils die Anerkennung der Ausbildungsstätten und gleichwertiger Ausbildungen zu regeln,</w:t>
      </w:r>
    </w:p>
    <w:p>
      <w:pPr>
        <w:ind w:left="420"/>
      </w:pPr>
      <w:r>
        <w:t xml:space="preserve">3. für Besamungsstationen nach § 14 Absatz 1 Satz 1 Nummer 1 und Embryo-Entnahmeeinheiten nach § 16 Absatz 1 Satz 1 Nummer 1 Vorschriften zu erlassen über</w:t>
      </w:r>
    </w:p>
    <w:p>
      <w:pPr>
        <w:ind w:left="780"/>
      </w:pPr>
      <w:r>
        <w:t xml:space="preserve">a) ihre Einrichtung und ihren Betrieb nach § 18 Absatz 2 Nummer 2 und 3, einschließlich der tierseuchenhygienischen Voraussetzungen nach § 18 Absatz 7,</w:t>
      </w:r>
    </w:p>
    <w:p>
      <w:pPr>
        <w:ind w:left="780"/>
      </w:pPr>
      <w:r>
        <w:t xml:space="preserve">b) die Gewinnung und Behandlung von Samen, Eizellen und Embryonen einschließlich ihrer Lagerung, Abgabe, Beförderung und Verwendung,</w:t>
      </w:r>
    </w:p>
    <w:p>
      <w:pPr>
        <w:ind w:left="780"/>
      </w:pPr>
      <w:r>
        <w:t xml:space="preserve">c) Schutzmaßnahmen gegen die Verwechslung von Samen, Eizellen und Embryonen, insbesondere über ihre Kennzeichnung,</w:t>
      </w:r>
    </w:p>
    <w:p>
      <w:pPr>
        <w:ind w:left="420"/>
      </w:pPr>
      <w:r>
        <w:t xml:space="preserve">4. die Ausstellung von Tierzuchtbescheinigungen für Zuchtmaterial durch Besamungsstationen, Samendepots, Embryo-Entnahme- oder -Erzeugungseinheiten zu regeln,</w:t>
      </w:r>
    </w:p>
    <w:p>
      <w:pPr>
        <w:ind w:left="420"/>
      </w:pPr>
      <w:r>
        <w:t xml:space="preserve">5. zur Umsetzung oder Durchführung von Rechtsakten der Europäischen Union im Anwendungsbereich des § 1 Absatz 2 Anforderungen an die Durchführung des Prüfeinsatzes zu regeln.</w:t>
      </w:r>
    </w:p>
    <w:p>
      <w:r>
        <w:t xml:space="preserve">(2) Die Landesregierungen werden ermächtigt, im Rahmen einer Rechtsverordnung nach Absatz 1 Nummer 2 Prüfungsordnungen für Lehrgänge und Kurzlehrgänge über künstliche Besamung und Prüfungsordnungen für Lehrgänge über Embryotransfer zu regeln.</w:t>
      </w:r>
    </w:p>
    <w:p>
      <w:r>
        <w:rPr>
          <w:color w:val="555555"/>
          <w:sz w:val="17"/>
        </w:rPr>
        <w:t xml:space="preserve">Zitiervorschlag: § 19 TierZG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https://recht.nulegal.eu/gesetze/TierZG%202019/19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TierZG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