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TierZG 2019 — Anwendungsbereich</w:t>
      </w:r>
    </w:p>
    <w:p>
      <w:r>
        <w:rPr>
          <w:color w:val="555555"/>
          <w:sz w:val="18"/>
        </w:rPr>
        <w:t xml:space="preserve">Tierzuchtgesetz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für die Zucht folgender Tiere, den Handel mit ihnen und ihre Verbringung in die Union:</w:t>
      </w:r>
    </w:p>
    <w:p>
      <w:pPr>
        <w:ind w:left="420"/>
      </w:pPr>
      <w:r>
        <w:t xml:space="preserve">1. Reinrassige Zuchttiere und Vorbuchtiere</w:t>
      </w:r>
    </w:p>
    <w:p>
      <w:pPr>
        <w:ind w:left="780"/>
      </w:pPr>
      <w:r>
        <w:t xml:space="preserve">a) Rind und Büffel (Bos taurus, Bos indicus und Bubalus bubalis),</w:t>
      </w:r>
    </w:p>
    <w:p>
      <w:pPr>
        <w:ind w:left="780"/>
      </w:pPr>
      <w:r>
        <w:t xml:space="preserve">b) Schwein (Sus scrofa),</w:t>
      </w:r>
    </w:p>
    <w:p>
      <w:pPr>
        <w:ind w:left="780"/>
      </w:pPr>
      <w:r>
        <w:t xml:space="preserve">c) Schaf (Ovis aries),</w:t>
      </w:r>
    </w:p>
    <w:p>
      <w:pPr>
        <w:ind w:left="780"/>
      </w:pPr>
      <w:r>
        <w:t xml:space="preserve">d) Ziege (Capra hircus) sowie</w:t>
      </w:r>
    </w:p>
    <w:p>
      <w:pPr>
        <w:ind w:left="780"/>
      </w:pPr>
      <w:r>
        <w:t xml:space="preserve">e) Hauspferd und Hausesel (Equiden – Equus caballus und Equus asinus) und</w:t>
      </w:r>
    </w:p>
    <w:p>
      <w:pPr>
        <w:ind w:left="420"/>
      </w:pPr>
      <w:r>
        <w:t xml:space="preserve">2. Hybridzuchtschweine.</w:t>
      </w:r>
    </w:p>
    <w:p>
      <w:r>
        <w:t xml:space="preserve">Es gilt auch für das Anbieten, die Abgabe und Verwendung von Zuchtmaterial von reinrassigen Zuchttieren und Hybridzuchtschweinen und dessen Verbringung in die Union.</w:t>
      </w:r>
    </w:p>
    <w:p>
      <w:r>
        <w:t xml:space="preserve">(2) Dieses Gesetz dient der Umsetzung und Durchführung von Rechtsakten der Europäischen Union im Anwendungsbereich dieses Gesetzes, wie durch ergänzende Regelungen zur Verordnung (EU) 2016/1012 des Europäischen Parlaments und des Rates vom 8. Juni 2016 über die Tierzucht- und Abstammungsbestimmungen für die Zucht, den Handel und die Verbringung in die Union von reinrassigen Zuchttieren und Hybridzuchtschweinen sowie deren Zuchtmaterial und zur Änderung der Verordnung (EU) Nr. 652/2014, der Richtlinien des Rates 89/608/EWG und 90/425/EWG, sowie zur Aufhebung einiger Rechtsakte im Bereich der Tierzucht („Tierzuchtverordnung“) (ABl. L 171 vom 29.6.2016, S. 66) in der jeweils geltenden Fassung.</w:t>
      </w:r>
    </w:p>
    <w:p>
      <w:r>
        <w:t xml:space="preserve">(3) Die Zucht der in Absatz 1 bezeichneten Tiere ist auch durch Bereitstellung öffentlicher Mittel so zu fördern, dass</w:t>
      </w:r>
    </w:p>
    <w:p>
      <w:pPr>
        <w:ind w:left="420"/>
      </w:pPr>
      <w:r>
        <w:t xml:space="preserve">1. die Leistungsfähigkeit, die Tiergesundheit sowie die Robustheit der Tiere erhalten und verbessert werden mit dem Ziel einer nachhaltigen Tierzucht hinsichtlich einer verbesserten Ressourceneffizienz und einer besseren Widerstandsfähigkeit,</w:t>
      </w:r>
    </w:p>
    <w:p>
      <w:pPr>
        <w:ind w:left="420"/>
      </w:pPr>
      <w:r>
        <w:t xml:space="preserve">2. die Wirtschaftlichkeit, insbesondere die Wettbewerbsfähigkeit, der tierischen Erzeugung verbessert wird,</w:t>
      </w:r>
    </w:p>
    <w:p>
      <w:pPr>
        <w:ind w:left="420"/>
      </w:pPr>
      <w:r>
        <w:t xml:space="preserve">3. die von den Tieren gewonnenen Erzeugnisse den an sie gestellten qualitativen Anforderungen entsprechen und</w:t>
      </w:r>
    </w:p>
    <w:p>
      <w:pPr>
        <w:ind w:left="420"/>
      </w:pPr>
      <w:r>
        <w:t xml:space="preserve">4. eine genetische Vielfalt und das Kulturerbe der einheimischen Rassen erhalten werden.</w:t>
      </w:r>
    </w:p>
    <w:p>
      <w:r>
        <w:rPr>
          <w:color w:val="555555"/>
          <w:sz w:val="17"/>
        </w:rPr>
        <w:t xml:space="preserve">Zitiervorschlag: § 1 TierZG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https://recht.nulegal.eu/gesetze/TierZG%202019/1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TierZG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