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TierZDV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9 Absatz 1 Nummer 1 bis 5, 7, 9 und 11 bis 14 und des § 19 Absatz 1 Nummer 1 bis 5 des Tierzuchtgesetzes vom 18. Januar 2019 (BGBl. I S. 18) sowie</w:t>
      </w:r>
    </w:p>
    <w:p>
      <w:pPr>
        <w:ind w:left="420"/>
      </w:pPr>
      <w:r>
        <w:t xml:space="preserve">– des § 4 Absatz 4 Satz 1 und § 6 Absatz 1 Nummer 3, Nummer 8 Buchstabe a, Nummer 9 Buchstabe b und Nummer 10 Buchstabe a in Verbindung mit Absatz 2 des Tiergesundheitsgesetzes in der Fassung der Bekanntmachung vom 21. November 2018 (BGBl. I S. 1938)</w:t>
      </w:r>
    </w:p>
    <w:p>
      <w:r>
        <w:t xml:space="preserve">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