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TierZDV — Übergangsvorschriften</w:t>
      </w:r>
    </w:p>
    <w:p>
      <w:r>
        <w:rPr>
          <w:color w:val="555555"/>
          <w:sz w:val="18"/>
        </w:rPr>
        <w:t xml:space="preserve">Tierzuchtdurchführungsverordnung</w:t>
      </w:r>
    </w:p>
    <w:p>
      <w:r>
        <w:rPr>
          <w:color w:val="555555"/>
          <w:sz w:val="18"/>
        </w:rPr>
        <w:t xml:space="preserve">Stand: 22.07.2021 (konsolidierte Textfassung, kein amtliches Inkrafttretensdatum)</w:t>
      </w:r>
    </w:p>
    <w:p>
      <w:r>
        <w:t xml:space="preserve">(1) Besamungstechniker, die in dem in Artikel 3 des Einigungsvertrages genannten Gebiet auf Grund des Gesetzes über die Leitung, Planung und Organisation der Tierzucht vom 17. Dezember 1980 (GBl. I Nr. 35 S. 360) und der hierzu erlassenen Durchführungsbestimmungen</w:t>
      </w:r>
    </w:p>
    <w:p>
      <w:pPr>
        <w:ind w:left="420"/>
      </w:pPr>
      <w:r>
        <w:t xml:space="preserve">1. an einem Lehrgang über künstliche Besamung erfolgreich teilgenommen haben, stehen den Besamungsbeauftragten für die ihrer Ausbildung entsprechende Tierart gleich;</w:t>
      </w:r>
    </w:p>
    <w:p>
      <w:pPr>
        <w:ind w:left="420"/>
      </w:pPr>
      <w:r>
        <w:t xml:space="preserve">2. an einem Lehrgang über Embryotransfer erfolgreich teilgenommen haben, stehen den zum Embryotransfer Berechtigten nach § 17 Absatz 1 des Tierzuchtgesetzes gleich.</w:t>
      </w:r>
    </w:p>
    <w:p>
      <w:r>
        <w:t xml:space="preserve">(2) Nach bisherigem Recht erteilte Anerkennungen von Ausbildungsstätten gelten als Anerkennungen nach dieser Verordnung.</w:t>
      </w:r>
    </w:p>
    <w:p>
      <w:r>
        <w:rPr>
          <w:color w:val="555555"/>
          <w:sz w:val="17"/>
        </w:rPr>
        <w:t xml:space="preserve">Zitiervorschlag: § 35 TierZDV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https://recht.nulegal.eu/gesetze/TierZDV/35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