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TierZDV — Genehmigung von Zuchtprogrammen für reinrassige Zuchttiere</w:t>
      </w:r>
    </w:p>
    <w:p>
      <w:r>
        <w:rPr>
          <w:color w:val="555555"/>
          <w:sz w:val="18"/>
        </w:rPr>
        <w:t xml:space="preserve">Tierzuchtdurchführungsverordnung</w:t>
      </w:r>
    </w:p>
    <w:p>
      <w:r>
        <w:rPr>
          <w:color w:val="555555"/>
          <w:sz w:val="18"/>
        </w:rPr>
        <w:t xml:space="preserve">Stand: 22.07.2021 (konsolidierte Textfassung, kein amtliches Inkrafttretensdatum)</w:t>
      </w:r>
    </w:p>
    <w:p>
      <w:r>
        <w:t xml:space="preserve">(1) Ein Zuchtprogramm wird nach Artikel 8 Absatz 3 der Verordnung (EU) 2016/1012 des Europäischen Parlaments und des Rates vom 8. Juni 2016 über die Tierzucht- und Abstammungsbestimmungen für die Zucht, den Handel und die Verbringung in die Union von reinrassigen Zuchttieren und Hybridzuchtschweinen sowie deren Zuchtmaterial und zur Änderung der Verordnung (EU) Nr. 652/2014, der Richtlinien des Rates 89/608/EWG und 90/425/EWG sowie zur Aufhebung einiger Rechtsakte im Bereich der Tierzucht (ABl. L 171 vom 29.6.2016, S. 66) in der jeweils geltenden Fassung genehmigt, wenn darin festgelegt ist,</w:t>
      </w:r>
    </w:p>
    <w:p>
      <w:pPr>
        <w:ind w:left="420"/>
      </w:pPr>
      <w:r>
        <w:t xml:space="preserve">1. wie und innerhalb welcher Frist die im Zuchtbuch einzutragenden reinrassigen Zuchttiere und ihre für das Zuchtprogramm vorgesehenen Nachkommen nach deren Geburt gekennzeichnet werden müssen; dabei darf die zulässige Höchstfrist nicht die Vorgaben von § 5 Absatz 1 überschreiten;</w:t>
      </w:r>
    </w:p>
    <w:p>
      <w:pPr>
        <w:ind w:left="420"/>
      </w:pPr>
      <w:r>
        <w:t xml:space="preserve">2. wie und innerhalb welcher Frist dem Zuchtverband die Daten nach Absatz 1 Nummer 3 zu melden sind und wer für die Meldungen verantwortlich ist;</w:t>
      </w:r>
    </w:p>
    <w:p>
      <w:pPr>
        <w:ind w:left="420"/>
      </w:pPr>
      <w:r>
        <w:t xml:space="preserve">3. dass in den Zuchtbetrieben als Grundlage für die Eintragung in das Zuchtbuch die folgenden Aufzeichnungen vorzunehmen sind:</w:t>
      </w:r>
    </w:p>
    <w:p>
      <w:pPr>
        <w:ind w:left="780"/>
      </w:pPr>
      <w:r>
        <w:t xml:space="preserve">a) zu den Zuchttieren über</w:t>
      </w:r>
    </w:p>
    <w:p>
      <w:pPr>
        <w:ind w:left="1140"/>
      </w:pPr>
      <w:r>
        <w:t xml:space="preserve">aa) die individuelle Kennnummer des Tieres,</w:t>
      </w:r>
    </w:p>
    <w:p>
      <w:pPr>
        <w:ind w:left="1140"/>
      </w:pPr>
      <w:r>
        <w:t xml:space="preserve">bb) die Abstammung und</w:t>
      </w:r>
    </w:p>
    <w:p>
      <w:pPr>
        <w:ind w:left="1140"/>
      </w:pPr>
      <w:r>
        <w:t xml:space="preserve">cc) die Deck- oder Besamungsdaten und die Abkalbe-, Abferkel-, Ablamm- oder Abfohldaten und</w:t>
      </w:r>
    </w:p>
    <w:p>
      <w:pPr>
        <w:ind w:left="780"/>
      </w:pPr>
      <w:r>
        <w:t xml:space="preserve">b) bei Zuchttieren, die aus einem Embryotransfer hervorgegangen sind, zusätzlich zu den Aufzeichnungen nach Buchstabe a Aufzeichnungen über</w:t>
      </w:r>
    </w:p>
    <w:p>
      <w:pPr>
        <w:ind w:left="1140"/>
      </w:pPr>
      <w:r>
        <w:t xml:space="preserve">aa) die individuellen Kennnummern der genetischen Eltern, des Empfängertieres und des Embryos,</w:t>
      </w:r>
    </w:p>
    <w:p>
      <w:pPr>
        <w:ind w:left="1140"/>
      </w:pPr>
      <w:r>
        <w:t xml:space="preserve">bb) den Zeitpunkt der Besamung und</w:t>
      </w:r>
    </w:p>
    <w:p>
      <w:pPr>
        <w:ind w:left="1140"/>
      </w:pPr>
      <w:r>
        <w:t xml:space="preserve">cc) die Zeitpunkte der Entnahme und der Übertragung des Embryos;</w:t>
      </w:r>
    </w:p>
    <w:p>
      <w:pPr>
        <w:ind w:left="420"/>
      </w:pPr>
      <w:r>
        <w:t xml:space="preserve">4. wer für die Aufzeichnungen nach Nummer 3 verantwortlich ist;</w:t>
      </w:r>
    </w:p>
    <w:p>
      <w:pPr>
        <w:ind w:left="420"/>
      </w:pPr>
      <w:r>
        <w:t xml:space="preserve">5. wie die Identität und die Abstammung festgestellt und in welchem Umfang diese überprüft werden, wobei auch stichprobenartige, risikoorientierte Überprüfungen durch eine Methode, die die in Artikel 22 der Verordnung (EU) 2016/1012 genannten Anforderungen erfüllt, zur Überprüfung der Identität oder Abstammung nach einem vorgegebenen Prüfplan vorzusehen sind;</w:t>
      </w:r>
    </w:p>
    <w:p>
      <w:pPr>
        <w:ind w:left="420"/>
      </w:pPr>
      <w:r>
        <w:t xml:space="preserve">6. welche Aufzeichnungen im Rahmen der Überprüfungen nach Nummer 5 zu machen sind;</w:t>
      </w:r>
    </w:p>
    <w:p>
      <w:pPr>
        <w:ind w:left="420"/>
      </w:pPr>
      <w:r>
        <w:t xml:space="preserve">7. dass festgestellte Abweichungen bei einer Überprüfung nach Nummer 5 sowie Überschreitungen der Fristen nach den Nummern 1 und 2 aufzuzeichnen sind;</w:t>
      </w:r>
    </w:p>
    <w:p>
      <w:pPr>
        <w:ind w:left="420"/>
      </w:pPr>
      <w:r>
        <w:t xml:space="preserve">8. welche Maßnahmen zu ergreifen sind, wenn Abweichungen bei einer Überprüfung nach Nummer 5 sowie Überschreitungen der Fristen nach den Nummern 1 und 2 festgestellt werden;</w:t>
      </w:r>
    </w:p>
    <w:p>
      <w:pPr>
        <w:ind w:left="420"/>
      </w:pPr>
      <w:r>
        <w:t xml:space="preserve">9. unter welchen Voraussetzungen Eintragungen im Zuchtbuch geändert werden dürfen.</w:t>
      </w:r>
    </w:p>
    <w:p>
      <w:r>
        <w:t xml:space="preserve">Die Regelungen nach Satz 1 Nummer 1 bis 3 sind mit Ausnahme von Satz 1 Nummer 3 Buchstabe b entsprechend auch für Vorbuchtiere zu treffen.</w:t>
      </w:r>
    </w:p>
    <w:p>
      <w:r>
        <w:t xml:space="preserve">(2) Die Aufzeichnungen nach Absatz 1 Satz 1 Nummer 6 und 7 sind mindestens zehn Jahre nach dem Zeitpunkt ihrer Erstellung in der Geschäftsstelle des Zuchtverbandes aufzubewahren. Den Aufzeichnungen nach Absatz 1 Satz 1 Nummer 3, 6 und 7 stehen Unterlagen gleich, die im automatisierten Verfahren oder in einem Informationssystem erstellt worden sind.</w:t>
      </w:r>
    </w:p>
    <w:p>
      <w:r>
        <w:t xml:space="preserve">(3) Das Zuchtbuch muss mindestens die Daten enthalten, die nach Absatz 1 Satz 1 Nummer 3 gefordert sind und die für Tierzuchtbescheinigungen nach Artikel 30 Absatz 6 in Verbindung mit Anhang V Teil 1 und Teil 2 der Verordnung (EU) 2016/1012 gefordert sind. Die Daten nach Absatz 3, 4 und 5 können in unterschiedlichen Datenbanken gespeichert werden und müssen für mindestens 20 Jahre verfügbar sein.</w:t>
      </w:r>
    </w:p>
    <w:p>
      <w:r>
        <w:t xml:space="preserve">(4) Das Ausstellen von Tierzuchtbescheinigungen ist vom Zuchtverband im Zuchtbuch zu dokumentieren. Kopien der ausgestellten Tierzuchtbescheinigungen sind für mindestens 20 Jahre aufzubewahren.</w:t>
      </w:r>
    </w:p>
    <w:p>
      <w:r>
        <w:t xml:space="preserve">(5) Alle Änderungen von Angaben im Zuchtbuch und in der Tierzuchtbescheinigung sind vom Zuchtverband im Zuchtbuch zu dokumentieren.</w:t>
      </w:r>
    </w:p>
    <w:p>
      <w:r>
        <w:t xml:space="preserve">(6) Besteht für eine Rasse von Equiden in einem Drittland ein Ursprungszuchtbuch, so ist das Zuchtprogramm als Filialzuchtbuch zu genehmigen.</w:t>
      </w:r>
    </w:p>
    <w:p>
      <w:r>
        <w:rPr>
          <w:color w:val="555555"/>
          <w:sz w:val="17"/>
        </w:rPr>
        <w:t xml:space="preserve">Zitiervorschlag: § 3 TierZDV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https://recht.nulegal.eu/gesetze/TierZDV/3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