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TierZDV — Aufzeichnungen über die Verwendung von Embryonen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(1) Der Verwender eines Embryos nach § 17 Absatz 1 des Tierzuchtgesetzes, der nach § 17 Absatz 2 des Tierzuchtgesetzes Aufzeichnungen erstellt, hat folgende Angaben zu machen:</w:t>
      </w:r>
    </w:p>
    <w:p>
      <w:pPr>
        <w:ind w:left="420"/>
      </w:pPr>
      <w:r>
        <w:t xml:space="preserve">1. die Kennzeichnungsnummer nach § 19 oder die individuelle Zulassungsnummer oder den Namen und die Anschrift der Embryo-Entnahme- oder -Erzeugungseinheit oder eines anderen für den Handel mit Embryonen zugelassenen Zuchtmaterialbetriebes, der den Embryo abgegeben hat,</w:t>
      </w:r>
    </w:p>
    <w:p>
      <w:pPr>
        <w:ind w:left="420"/>
      </w:pPr>
      <w:r>
        <w:t xml:space="preserve">2. die Angaben, mit denen der Embryo nach § 20 gekennzeichnet ist,</w:t>
      </w:r>
    </w:p>
    <w:p>
      <w:pPr>
        <w:ind w:left="420"/>
      </w:pPr>
      <w:r>
        <w:t xml:space="preserve">3. das Datum der Verwendung des Embryos,</w:t>
      </w:r>
    </w:p>
    <w:p>
      <w:pPr>
        <w:ind w:left="420"/>
      </w:pPr>
      <w:r>
        <w:t xml:space="preserve">4. den Namen des Verwenders,</w:t>
      </w:r>
    </w:p>
    <w:p>
      <w:pPr>
        <w:ind w:left="420"/>
      </w:pPr>
      <w:r>
        <w:t xml:space="preserve">5. den Namen und die Anschrift des Betriebes des Tierhalters, in dem der Embryo verwendet wurde, und</w:t>
      </w:r>
    </w:p>
    <w:p>
      <w:pPr>
        <w:ind w:left="420"/>
      </w:pPr>
      <w:r>
        <w:t xml:space="preserve">6. die individuelle Kennnummer des Empfängertieres.</w:t>
      </w:r>
    </w:p>
    <w:p>
      <w:r>
        <w:t xml:space="preserve">(2) Den Aufzeichnungen nach Absatz 1 stehen Unterlagen gleich, die im automatisierten Verfahren oder in einem Informationssystem erstellt wurden.</w:t>
      </w:r>
    </w:p>
    <w:p>
      <w:r>
        <w:t xml:space="preserve">(3) Soweit die Aufzeichnungen nach Absatz 1 personenbezogene Daten enthalten, sind diese unverzüglich zu löschen, sobald sie nicht mehr erforderlich sind, spätestens sieben Jahre nach Erstellen der Aufzeichnung.</w:t>
      </w:r>
    </w:p>
    <w:p>
      <w:r>
        <w:rPr>
          <w:color w:val="555555"/>
          <w:sz w:val="17"/>
        </w:rPr>
        <w:t xml:space="preserve">Zitiervorschlag: § 22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