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17 TierZDV — Anforderungen an Einrichtungen einer nationalen Embryo-Entnahmeeinheit</w:t>
      </w:r>
    </w:p>
    <w:p>
      <w:r>
        <w:rPr>
          <w:color w:val="555555"/>
          <w:sz w:val="18"/>
        </w:rPr>
        <w:t xml:space="preserve">Tierzuchtdurchführungsverordnung</w:t>
      </w:r>
    </w:p>
    <w:p>
      <w:r>
        <w:rPr>
          <w:color w:val="555555"/>
          <w:sz w:val="18"/>
        </w:rPr>
        <w:t xml:space="preserve">Stand: 22.07.2021 (konsolidierte Textfassung, kein amtliches Inkrafttretensdatum)</w:t>
      </w:r>
    </w:p>
    <w:p>
      <w:r>
        <w:t xml:space="preserve">Eine nationale Embryo-Entnahmeeinheit verfügt über die nach § 18 Absatz 2 Nummer 3 des Tierzuchtgesetzes erforderlichen Einrichtungen, wenn in dieser mindestens die in Anlage 3 genannten Einrichtungen vorhanden sind.</w:t>
      </w:r>
    </w:p>
    <w:p>
      <w:r>
        <w:rPr>
          <w:color w:val="555555"/>
          <w:sz w:val="17"/>
        </w:rPr>
        <w:t xml:space="preserve">Zitiervorschlag: § 17 TierZDV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https://recht.nulegal.eu/gesetze/TierZDV/17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