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TierSeuchSchNOKanV</w:t>
      </w:r>
    </w:p>
    <w:p>
      <w:r>
        <w:rPr>
          <w:color w:val="555555"/>
          <w:sz w:val="18"/>
        </w:rPr>
        <w:t xml:space="preserve">Nord-Ostsee-Kanal-Tierseuchenschutzverordnung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Durchfahrt von Seeschiffen mit</w:t>
      </w:r>
    </w:p>
    <w:p>
      <w:pPr>
        <w:ind w:left="420"/>
      </w:pPr>
      <w:r>
        <w:t xml:space="preserve">1. lebenden und toten Tieren,</w:t>
      </w:r>
    </w:p>
    <w:p>
      <w:pPr>
        <w:ind w:left="420"/>
      </w:pPr>
      <w:r>
        <w:t xml:space="preserve">2. Teilen, Erzeugnissen und Rohstoffen von Tieren und</w:t>
      </w:r>
    </w:p>
    <w:p>
      <w:pPr>
        <w:ind w:left="420"/>
      </w:pPr>
      <w:r>
        <w:t xml:space="preserve">3. Rauhfutter und Stroh sowie sonstigen Gegenständen, die Träger von Ansteckungsstoff sein können,</w:t>
      </w:r>
    </w:p>
    <w:p>
      <w:r>
        <w:t xml:space="preserve">durch den Nord-Ostsee-Kanal (Kanal). Andere auf § 14 Absatz 1, § 38 Absatz 2 und 4 des Tiergesundheitsgesetzes gestützte Vorschriften finden auf die in Satz 1 bezeichnete Durchfahrt keine Anwendung.</w:t>
      </w:r>
    </w:p>
    <w:p>
      <w:r>
        <w:t xml:space="preserve">(2) Der Bereich des Kanals im Sinne dieser Verordnung erstreckt sich von der Verbindungslinie zwischen den Molenköpfen in Brunsbüttel bis zu der Verbindungslinie zwischen den Einfahrtsfeuern in Kiel-Holtenau unter Einschluß des Gieselaukanals, Schirnauer Sees, Borgstedter Sees, Audorfer Sees, Obereidersees mit Enge, Achterwehrer Schiffahrtskanals und Flemhuder Sees.</w:t>
      </w:r>
    </w:p>
    <w:p>
      <w:r>
        <w:rPr>
          <w:color w:val="555555"/>
          <w:sz w:val="17"/>
        </w:rPr>
        <w:t xml:space="preserve">Zitiervorschlag: § 1 TierSeuchSchNOKanV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https://recht.nulegal.eu/gesetze/TierSeuchSchNOKanV/1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