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9a TierSeuchSchBMV — Verbringungsverbot für Tiere</w:t>
      </w:r>
    </w:p>
    <w:p>
      <w:r>
        <w:rPr>
          <w:color w:val="555555"/>
          <w:sz w:val="18"/>
        </w:rPr>
        <w:t xml:space="preserve">Binnenmarkt-Tierseuchenschutzverordnung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ist verboten, Tiere der in Anlage 5 Spalte 1 genannten Arten innergemeinschaftlich zu verbringen, wenn sie die dort für sie in Spalte 2 festgelegten Voraussetzungen erfüllen.</w:t>
      </w:r>
    </w:p>
    <w:p>
      <w:r>
        <w:rPr>
          <w:color w:val="555555"/>
          <w:sz w:val="17"/>
        </w:rPr>
        <w:t xml:space="preserve">Zitiervorschlag: § 9a TierSeuchSchBMV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https://recht.nulegal.eu/gesetze/TierSeuchSchBMV/9a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