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TierSeuchSchBMV — Anforderungen an Transportmittel und -behältnisse</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Tiere und Waren der in Anlage 2 Spalte 1 genannten Arten oder Verwendungszwecke dürfen nur in Transportmitteln oder -behältnissen innergemeinschaftlich verbracht oder eingeführt werden, die den dort für sie in Spalte 2 genannten Anforderungen entsprechen.</w:t>
      </w:r>
    </w:p>
    <w:p>
      <w:r>
        <w:t xml:space="preserve">(2) Geflügel, Bruteier von Geflügel, Papageien und Sittiche dürfen nur in Transportbehältnissen innergemeinschaftlich verbracht oder eingeführt werden, die ausschließlich Tiere oder Bruteier derselben Art enthalten, demselben Verwendungszweck dienen und im Falle von Geflügel und Bruteiern aus demselben Betrieb stammen.</w:t>
      </w:r>
    </w:p>
    <w:p>
      <w:r>
        <w:rPr>
          <w:color w:val="555555"/>
          <w:sz w:val="17"/>
        </w:rPr>
        <w:t xml:space="preserve">Zitiervorschlag: § 6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