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 TierSeuchSchBMV — Übergangsvorschriften</w:t>
      </w:r>
    </w:p>
    <w:p>
      <w:r>
        <w:rPr>
          <w:color w:val="555555"/>
          <w:sz w:val="18"/>
        </w:rPr>
        <w:t xml:space="preserve">Binnenmarkt-Tierseuchenschutzverordnung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Betriebe, die nach § 15 Abs. 1 oder 3 der Zulassung bedürfen und am 31. Dezember 2004 nicht nach dieser Vorschrift zugelassen waren, gelten als vorläufig zugelassen. Die vorläufige Zulassung erlischt,</w:t>
      </w:r>
    </w:p>
    <w:p>
      <w:pPr>
        <w:ind w:left="420"/>
      </w:pPr>
      <w:r>
        <w:t xml:space="preserve">1. wenn nicht bis zum 1. April 2005 die Erteilung der Zulassung beantragt wird, oder</w:t>
      </w:r>
    </w:p>
    <w:p>
      <w:pPr>
        <w:ind w:left="420"/>
      </w:pPr>
      <w:r>
        <w:t xml:space="preserve">2. im Falle rechtzeitiger Antragstellung mit Eintritt der Unanfechtbarkeit der Entscheidung über den Antrag.</w:t>
      </w:r>
    </w:p>
    <w:p>
      <w:r>
        <w:t xml:space="preserve">(2) Anlage 8 Abschnitt II Nr. 1 und 2 ist bis zum Ablauf des 30. Juni 2006 in der am 7. April 2006 geltenden Fassung weiter anzuwenden.</w:t>
      </w:r>
    </w:p>
    <w:p>
      <w:r>
        <w:rPr>
          <w:color w:val="555555"/>
          <w:sz w:val="17"/>
        </w:rPr>
        <w:t xml:space="preserve">Zitiervorschlag: § 42 TierSeuchSchBMV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https://recht.nulegal.eu/gesetze/TierSeuchSchBMV/42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