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TierSeuchSchBMV — Einfuhruntersuchung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Tiere sowie Waren nach § 26 Satz 1 Nr. 1 unterliegen bei der Einfuhr der Dokumentenprüfung, der Nämlichkeitskontrolle und der physischen Untersuchung bei der Grenzkontrollstelle. Abweichend von Satz 1 ist bei Waren, die auf dem See- oder Luftweg befördert, bei der Grenzkontrollstelle auf ein anderes Schiff oder Flugzeug umgeladen und in einer zweiten Grenzkontrollstelle (Bestimmungsgrenzkontrollstelle) abgefertigt werden sollen, in der ersten Grenzkontrollstelle</w:t>
      </w:r>
    </w:p>
    <w:p>
      <w:pPr>
        <w:ind w:left="420"/>
      </w:pPr>
      <w:r>
        <w:t xml:space="preserve">1. die Dokumentenprüfung nur durchzuführen, sofern</w:t>
      </w:r>
    </w:p>
    <w:p>
      <w:pPr>
        <w:ind w:left="780"/>
      </w:pPr>
      <w:r>
        <w:t xml:space="preserve">a) der Verdacht eines Verstoßes gegen eine tierseuchenrechtliche Bestimmung vorliegt oder eine Verbreitung von Tierseuchen zu befürchten ist oder</w:t>
      </w:r>
    </w:p>
    <w:p>
      <w:pPr>
        <w:ind w:left="780"/>
      </w:pPr>
      <w:r>
        <w:t xml:space="preserve">b) die Ware eine Mindestzeit, nicht länger als eine Höchstzeit und unter Bedingungen zwischengelagert wird, die jeweils in einer Maßnahme vorgeschrieben sind, die</w:t>
      </w:r>
    </w:p>
    <w:p>
      <w:pPr>
        <w:ind w:left="1140"/>
      </w:pPr>
      <w:r>
        <w:t xml:space="preserve">aa) die Europäische Gemeinschaft oder die Europäische Union auf Grund des Artikels 9 der Richtlinie 97/78/EG des Rates vom 18. Dezember 1997 zur Festlegung von Grundregeln für die Veterinärkontrollen von aus Drittländern in die Gemeinschaft eingeführten Erzeugnissen (ABl. L 24 vom 30.1.1998, S. 9) in der jeweils geltenden Fassung erlassen und</w:t>
      </w:r>
    </w:p>
    <w:p>
      <w:pPr>
        <w:ind w:left="1140"/>
      </w:pPr>
      <w:r>
        <w:t xml:space="preserve">bb) das Bundesministerium im Bundesanzeiger bekannt gemacht</w:t>
      </w:r>
    </w:p>
    <w:p>
      <w:pPr>
        <w:ind w:left="780"/>
      </w:pPr>
      <w:r>
        <w:t xml:space="preserve">hat,</w:t>
      </w:r>
    </w:p>
    <w:p>
      <w:pPr>
        <w:ind w:left="420"/>
      </w:pPr>
      <w:r>
        <w:t xml:space="preserve">2. die Nämlichkeitskontrolle und physische Untersuchung nur durchzuführen, sofern</w:t>
      </w:r>
    </w:p>
    <w:p>
      <w:pPr>
        <w:ind w:left="780"/>
      </w:pPr>
      <w:r>
        <w:t xml:space="preserve">a) eine Zwischenlagerung nach Nummer 1 Buchstabe b erfolgt und</w:t>
      </w:r>
    </w:p>
    <w:p>
      <w:pPr>
        <w:ind w:left="780"/>
      </w:pPr>
      <w:r>
        <w:t xml:space="preserve">b) der Verdacht eines Verstoßes gegen eine tierseuchenrechtliche Bestimmung vorliegt oder eine Verbreitung von Tierseuchen zu befürchten ist.</w:t>
      </w:r>
    </w:p>
    <w:p>
      <w:r>
        <w:t xml:space="preserve">In der Bestimmungsgrenzkontrollstelle sind Dokumentenprüfung, Nämlichkeitskontrolle und physische Untersuchung insoweit durchzuführen, als sie nicht bereits bei der ersten Grenzkontrollstelle durchgeführt worden sind.</w:t>
      </w:r>
    </w:p>
    <w:p>
      <w:r>
        <w:t xml:space="preserve">(2) Abweichend von Absatz 1 unterliegen Tiere und Waren aus EWR-Staaten bei der Einfuhr außer der Dokumentenprüfung der nur stichprobenartigen Nämlichkeitskontrolle und physischen Untersuchung.</w:t>
      </w:r>
    </w:p>
    <w:p>
      <w:r>
        <w:t xml:space="preserve">(3) Abweichend von Absatz 1 unterliegen Waren und Gegenstände, die nach § 23a eingeführt werden, lediglich einer Dokumentenprüfung und Nämlichkeitskontrolle.</w:t>
      </w:r>
    </w:p>
    <w:p>
      <w:r>
        <w:t xml:space="preserve">(4) Die Absätze 1 und 2 gelten für die Einfuhr von Gegenständen nach Anlage 9a mit der Maßgabe entsprechend, dass lediglich eine Dokumentenprüfung und eine Nämlichkeitskontrolle durchgeführt werden.</w:t>
      </w:r>
    </w:p>
    <w:p>
      <w:r>
        <w:t xml:space="preserve">(5) Bei der Einfuhr aus bestimmten Drittländern oder Teilen von Drittländern ist die Einfuhruntersuchung abweichend von den Absätzen 1 bis 3 durchzuführen, wenn und soweit dies im Hinblick auf das betreffende Drittland oder den betreffenden Teil eines Drittlandes in einer Maßnahme vorgeschrieben ist, die</w:t>
      </w:r>
    </w:p>
    <w:p>
      <w:pPr>
        <w:ind w:left="420"/>
      </w:pPr>
      <w:r>
        <w:t xml:space="preserve">1. die Europäische Gemeinschaft oder die Europäische Union auf Grund</w:t>
      </w:r>
    </w:p>
    <w:p>
      <w:pPr>
        <w:ind w:left="780"/>
      </w:pPr>
      <w:r>
        <w:t xml:space="preserve">a) des Artikels 16 der Richtlinie 91/496/EWG des Rates vom 15. Juli 1991 zur Festlegung von Grundregeln für die Veterinärkontrollen von aus Drittländern in die Gemeinschaft eingeführten Tieren und zur Änderung der Richtlinien 89/662/EWG, 90/425/EWG und 90/675/EWG (ABl. L 268 vom 24.9.1991, S. 56) oder</w:t>
      </w:r>
    </w:p>
    <w:p>
      <w:pPr>
        <w:ind w:left="780"/>
      </w:pPr>
      <w:r>
        <w:t xml:space="preserve">b) des Artikels 10 der Richtlinie 97/78/EG</w:t>
      </w:r>
    </w:p>
    <w:p>
      <w:pPr>
        <w:ind w:left="420"/>
      </w:pPr>
      <w:r>
        <w:t xml:space="preserve">in der jeweils geltenden Fassung erlassen und</w:t>
      </w:r>
    </w:p>
    <w:p>
      <w:pPr>
        <w:ind w:left="420"/>
      </w:pPr>
      <w:r>
        <w:t xml:space="preserve">2. das Bundesministerium im Bundesanzeiger bekannt gemacht</w:t>
      </w:r>
    </w:p>
    <w:p>
      <w:r>
        <w:t xml:space="preserve">hat.</w:t>
      </w:r>
    </w:p>
    <w:p>
      <w:r>
        <w:rPr>
          <w:color w:val="555555"/>
          <w:sz w:val="17"/>
        </w:rPr>
        <w:t xml:space="preserve">Zitiervorschlag: § 27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