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TierSeuchSchBMV — Sonstige Maßnahmen</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Stellt die zuständige Behörde fest, dass Tiere oder Waren aus einem anderen Mitgliedstaat aus anderen als den in § 20 genannten Gründen nicht den tierseuchenrechtlichen Vorschriften entsprechen, so kann sie deren Rücksendung anordnen, wenn</w:t>
      </w:r>
    </w:p>
    <w:p>
      <w:pPr>
        <w:ind w:left="420"/>
      </w:pPr>
      <w:r>
        <w:t xml:space="preserve">1. der Verfügungsberechtigte nachgewiesen hat, dass der Herkunftsmitgliedstaat dies zulässt, und</w:t>
      </w:r>
    </w:p>
    <w:p>
      <w:pPr>
        <w:ind w:left="420"/>
      </w:pPr>
      <w:r>
        <w:t xml:space="preserve">2. andere von der Rücksendung betroffene Mitgliedstaaten benachrichtigt worden sind.</w:t>
      </w:r>
    </w:p>
    <w:p>
      <w:r>
        <w:t xml:space="preserve">(2) Kann ein Mangel durch eine schriftliche oder elektronische Stellungnahme der für den Herkunftsort der betroffenen Sendung zuständigen Behörde geheilt werden, so ist der Verfügungsberechtigte vor Anordnung der Rücksendung unter Setzung einer angemessenen Frist zur Beibringung dieser Stellungnahme aufzufordern.</w:t>
      </w:r>
    </w:p>
    <w:p>
      <w:r>
        <w:t xml:space="preserve">(3) Die Rücksendung von Tieren und Waren, die nach einem anderen Mitgliedstaat verbracht und dort aus tierseuchenrechtlichen Gründen beanstandet worden sind, bedarf der Genehmigung.</w:t>
      </w:r>
    </w:p>
    <w:p>
      <w:r>
        <w:t xml:space="preserve">(4) Tiere und Waren, die in einem anderen Mitgliedstaat aus tierseuchenrechtlichen Gründen beanstandet worden sind, dürfen durch das Inland nach einem anderen Mitgliedstaat nur verbracht werden, wenn der Verfügungsberechtigte die zuständige Behörde des bei der Rücksendung erstberührten Landes zuvor unterrichtet hat.</w:t>
      </w:r>
    </w:p>
    <w:p>
      <w:r>
        <w:rPr>
          <w:color w:val="555555"/>
          <w:sz w:val="17"/>
        </w:rPr>
        <w:t xml:space="preserve">Zitiervorschlag: § 21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