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TierSeuchSchBMV — Kennzeichnung</w:t>
      </w:r>
    </w:p>
    <w:p>
      <w:r>
        <w:rPr>
          <w:color w:val="555555"/>
          <w:sz w:val="18"/>
        </w:rPr>
        <w:t xml:space="preserve">Binnenmarkt-Tierseuchenschutzverordnung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Tiere und Erzeugnisse der in Anlage 8 Spalte 1 genannten Arten oder Verwendungszwecke dürfen innergemeinschaftlich nur verbracht werden, wenn sie oder ihre Transportbehältnisse in der dort für sie nach Spalte 2 vorgeschriebenen Weise gekennzeichnet sind.</w:t>
      </w:r>
    </w:p>
    <w:p>
      <w:r>
        <w:rPr>
          <w:color w:val="555555"/>
          <w:sz w:val="17"/>
        </w:rPr>
        <w:t xml:space="preserve">Zitiervorschlag: § 18 TierSeuchSchBMV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https://recht.nulegal.eu/gesetze/TierSeuchSchBMV/18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