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TierSeuchMeldV — Weitere Seuchen, die nach § 3 zu melden sind</w:t>
      </w:r>
    </w:p>
    <w:p>
      <w:r>
        <w:rPr>
          <w:color w:val="555555"/>
          <w:sz w:val="18"/>
        </w:rPr>
        <w:t xml:space="preserve">Tierseuchenmeldeverordnung</w:t>
      </w:r>
    </w:p>
    <w:p>
      <w:r>
        <w:rPr>
          <w:color w:val="555555"/>
          <w:sz w:val="18"/>
        </w:rPr>
        <w:t xml:space="preserve">Stand: 14.03.2026 (konsolidierte Textfassung, kein amtliches Inkrafttretensdatum)</w:t>
      </w:r>
    </w:p>
    <w:p>
      <w:r>
        <w:t xml:space="preserve">(Fundstelle: BGBl. 2026 I Nr. 61, S. 11 - 12)</w:t>
      </w:r>
    </w:p>
    <w:p>
      <w:r>
        <w:t xml:space="preserve">Teil 1 – Landtiere</w:t>
      </w:r>
    </w:p>
    <w:p>
      <w:r>
        <w:rPr>
          <w:rFonts w:ascii="Courier New" w:hAnsi="Courier New"/>
          <w:sz w:val="17"/>
        </w:rPr>
        <w:t xml:space="preserve">1    2    3</w:t>
      </w:r>
    </w:p>
    <w:p>
      <w:r>
        <w:rPr>
          <w:rFonts w:ascii="Courier New" w:hAnsi="Courier New"/>
          <w:sz w:val="17"/>
        </w:rPr>
        <w:t xml:space="preserve">Nr.    Seuchen    Arten und Artengruppen</w:t>
      </w:r>
    </w:p>
    <w:p>
      <w:r>
        <w:rPr>
          <w:rFonts w:ascii="Courier New" w:hAnsi="Courier New"/>
          <w:sz w:val="17"/>
        </w:rPr>
        <w:t xml:space="preserve">Nach Artikel 5 Absatz 1 der Verordnung (EU) 2016/429 in der Fassung vom 25. Juli 2018 gelistete Seuchen</w:t>
      </w:r>
    </w:p>
    <w:p>
      <w:r>
        <w:rPr>
          <w:rFonts w:ascii="Courier New" w:hAnsi="Courier New"/>
          <w:sz w:val="17"/>
        </w:rPr>
        <w:t xml:space="preserve">1.    Infektion mit Brucella abortus, B. melitensis, B. suis    Paarhufer (außer Rinder, Schafe, Ziegen, Schweine), Einhufer, Raubtiere, Hasenartige Artiodactyla (außer Bison ssp., Bos ssp., Bubalus ssp., Ovis ssp., Capra ssp., Suidae), Perissodactyla, Carnivora, Lagomorpha</w:t>
      </w:r>
    </w:p>
    <w:p>
      <w:r>
        <w:rPr>
          <w:rFonts w:ascii="Courier New" w:hAnsi="Courier New"/>
          <w:sz w:val="17"/>
        </w:rPr>
        <w:t xml:space="preserve">2.    Infektion mit dem Mycobacterium-tuberculosis-Komplex (M. bovis, M. caprae, M. tuberculosis)    Säugetiere (außer Rinder) Mammalia (außer Bison ssp., Bos ssp., Bubalus ssp.)</w:t>
      </w:r>
    </w:p>
    <w:p>
      <w:r>
        <w:rPr>
          <w:rFonts w:ascii="Courier New" w:hAnsi="Courier New"/>
          <w:sz w:val="17"/>
        </w:rPr>
        <w:t xml:space="preserve">3.    Befall mit Echinococcus multilocularis    Hundeartige Canidae</w:t>
      </w:r>
    </w:p>
    <w:p>
      <w:r>
        <w:rPr>
          <w:rFonts w:ascii="Courier New" w:hAnsi="Courier New"/>
          <w:sz w:val="17"/>
        </w:rPr>
        <w:t xml:space="preserve">4.    Paratuberkulose    Rinder, Schafe, Ziegen, Kamele, HirscheBison ssp., Bos ssp., Bubalus ssp., Ovis ssp., Capra ssp., Camelidae, Cervidae</w:t>
      </w:r>
    </w:p>
    <w:p>
      <w:r>
        <w:rPr>
          <w:rFonts w:ascii="Courier New" w:hAnsi="Courier New"/>
          <w:sz w:val="17"/>
        </w:rPr>
        <w:t xml:space="preserve">5.    Q-Fieber    Rinder, Schafe, ZiegenBison ssp., Bos ssp., Bubalus ssp., Ovis ssp., Capra ssp.</w:t>
      </w:r>
    </w:p>
    <w:p>
      <w:r>
        <w:rPr>
          <w:rFonts w:ascii="Courier New" w:hAnsi="Courier New"/>
          <w:sz w:val="17"/>
        </w:rPr>
        <w:t xml:space="preserve">6.    Infektiöse Bovine Rhinotracheitis/Infektiöse Pustulöse Vulvovaginitis    Kamele, Hirsche Camelidae, Cervidae</w:t>
      </w:r>
    </w:p>
    <w:p>
      <w:r>
        <w:rPr>
          <w:rFonts w:ascii="Courier New" w:hAnsi="Courier New"/>
          <w:sz w:val="17"/>
        </w:rPr>
        <w:t xml:space="preserve">7.    Infektiöse Epididymitis (Brucella ovis)    Schafe, ZiegenOvis ssp., Capra ssp.</w:t>
      </w:r>
    </w:p>
    <w:p>
      <w:r>
        <w:rPr>
          <w:rFonts w:ascii="Courier New" w:hAnsi="Courier New"/>
          <w:sz w:val="17"/>
        </w:rPr>
        <w:t xml:space="preserve">8.    Infektion mit dem Virus der Equinen Viralen Arteritis    Equiden Equidae</w:t>
      </w:r>
    </w:p>
    <w:p>
      <w:r>
        <w:rPr>
          <w:rFonts w:ascii="Courier New" w:hAnsi="Courier New"/>
          <w:sz w:val="17"/>
        </w:rPr>
        <w:t xml:space="preserve">9.    Ansteckende Pferdemetritis (CEM)    Equiden Equidae</w:t>
      </w:r>
    </w:p>
    <w:p>
      <w:r>
        <w:rPr>
          <w:rFonts w:ascii="Courier New" w:hAnsi="Courier New"/>
          <w:sz w:val="17"/>
        </w:rPr>
        <w:t xml:space="preserve">10.    Infektion mit dem Virus des Seuchenhaften Spätaborts der Schweine    Schweine Suidae</w:t>
      </w:r>
    </w:p>
    <w:p>
      <w:r>
        <w:rPr>
          <w:rFonts w:ascii="Courier New" w:hAnsi="Courier New"/>
          <w:sz w:val="17"/>
        </w:rPr>
        <w:t xml:space="preserve">11.    Mykoplasmose des Geflügels (Mycoplasma gallisepticum und M. meleagridis)    Huhn, TruthuhnGallus gallus, Meleagris gallopavo</w:t>
      </w:r>
    </w:p>
    <w:p>
      <w:r>
        <w:rPr>
          <w:rFonts w:ascii="Courier New" w:hAnsi="Courier New"/>
          <w:sz w:val="17"/>
        </w:rPr>
        <w:t xml:space="preserve">12.    Infektion mit Salmonella Pullorum, S. Gallinarum, S. arizonae (außer Salmonellen, für die eine Mitteilungspflicht nach § 4 der Geflügel-Salmonellen-Verordnung besteht)    Huhn, Truthuhn, Helmperlhuhn, Wachtel, Fasan, Rebhuhn, EntenGallus gallus, Meleagris gallopavo, Numida meleagris, Coturnix coturnix, Phasianus colchicus, Perdix perdix, Anas ssp.</w:t>
      </w:r>
    </w:p>
    <w:p>
      <w:r>
        <w:rPr>
          <w:rFonts w:ascii="Courier New" w:hAnsi="Courier New"/>
          <w:sz w:val="17"/>
        </w:rPr>
        <w:t xml:space="preserve">13.    Infektion mit den niedrigpathogenen Viren der aviären Influenza    Vögel (wild lebende Tiere) Aves (wild lebende Tiere)</w:t>
      </w:r>
    </w:p>
    <w:p>
      <w:r>
        <w:rPr>
          <w:rFonts w:ascii="Courier New" w:hAnsi="Courier New"/>
          <w:sz w:val="17"/>
        </w:rPr>
        <w:t xml:space="preserve">14.    Chlamydiose der Vögel    Papageienartige Psittaciformes</w:t>
      </w:r>
    </w:p>
    <w:p>
      <w:r>
        <w:rPr>
          <w:rFonts w:ascii="Courier New" w:hAnsi="Courier New"/>
          <w:sz w:val="17"/>
        </w:rPr>
        <w:t xml:space="preserve">15.    Befall mit Varroa spp. (Varroose)    Honigbienen Apis</w:t>
      </w:r>
    </w:p>
    <w:p>
      <w:r>
        <w:t xml:space="preserve">Teil 2 – Wassertiere</w:t>
      </w:r>
    </w:p>
    <w:p>
      <w:r>
        <w:rPr>
          <w:rFonts w:ascii="Courier New" w:hAnsi="Courier New"/>
          <w:sz w:val="17"/>
        </w:rPr>
        <w:t xml:space="preserve">1    2    3</w:t>
      </w:r>
    </w:p>
    <w:p>
      <w:r>
        <w:rPr>
          <w:rFonts w:ascii="Courier New" w:hAnsi="Courier New"/>
          <w:sz w:val="17"/>
        </w:rPr>
        <w:t xml:space="preserve">Nr.    Seuchen    Arten und Artengruppen</w:t>
      </w:r>
    </w:p>
    <w:p>
      <w:r>
        <w:rPr>
          <w:rFonts w:ascii="Courier New" w:hAnsi="Courier New"/>
          <w:sz w:val="17"/>
        </w:rPr>
        <w:t xml:space="preserve">Nach Artikel 5 Absatz 1 der Verordnung (EU) 2016/429 in der Fassung vom 25. Juli 2018 gelistete Seuchen</w:t>
      </w:r>
    </w:p>
    <w:p>
      <w:r>
        <w:rPr>
          <w:rFonts w:ascii="Courier New" w:hAnsi="Courier New"/>
          <w:sz w:val="17"/>
        </w:rPr>
        <w:t xml:space="preserve">1.    Koi-Herpesvirus-Infektion    Alle Varianten und Unterarten vonCyprinus carpio und Cyprinus-carpio-Hybriden, z. B. Cyprinus carpio × Carassius auratus, Cyprinus carpio × Carassius carassius</w:t>
      </w:r>
    </w:p>
    <w:p>
      <w:r>
        <w:rPr>
          <w:rFonts w:ascii="Courier New" w:hAnsi="Courier New"/>
          <w:sz w:val="17"/>
        </w:rPr>
        <w:t xml:space="preserve">2.    Infektion mit Bonamia exitiosa    Crassostrea ariakensis, Crassostrea virginica, Ostrea puelchana, Ostrea angasi, Ostrea chilensis, Ostrea equestris, Ostrea edulis, Ostrea lurida</w:t>
      </w:r>
    </w:p>
    <w:p>
      <w:r>
        <w:rPr>
          <w:rFonts w:ascii="Courier New" w:hAnsi="Courier New"/>
          <w:sz w:val="17"/>
        </w:rPr>
        <w:t xml:space="preserve">3.    Infektion mit Bonamia ostreae    Crassostrea ariakensis, Ostrea chilensis, Ostrea edulis</w:t>
      </w:r>
    </w:p>
    <w:p>
      <w:r>
        <w:rPr>
          <w:rFonts w:ascii="Courier New" w:hAnsi="Courier New"/>
          <w:sz w:val="17"/>
        </w:rPr>
        <w:t xml:space="preserve">4.    Infektion mit Marteilia refringens    Chamelea gallina, Ostrea edulis, Ostrea stentina, Solen marginatus, Xenostrobus securis</w:t>
      </w:r>
    </w:p>
    <w:p>
      <w:r>
        <w:rPr>
          <w:color w:val="555555"/>
          <w:sz w:val="17"/>
        </w:rPr>
        <w:t xml:space="preserve">Zitiervorschlag: Anlage 2 TierSeuchMeldV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https://recht.nulegal.eu/gesetze/TierSeuchMeldV/anlage-2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