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TierSeuchMeldV — Seuchen, die nach § 3 zu melden sind</w:t>
      </w:r>
    </w:p>
    <w:p>
      <w:r>
        <w:rPr>
          <w:color w:val="555555"/>
          <w:sz w:val="18"/>
        </w:rPr>
        <w:t xml:space="preserve">Tierseuchenmeldeverordnung</w:t>
      </w:r>
    </w:p>
    <w:p>
      <w:r>
        <w:rPr>
          <w:color w:val="555555"/>
          <w:sz w:val="18"/>
        </w:rPr>
        <w:t xml:space="preserve">Stand: 14.03.2026 (konsolidierte Textfassung, kein amtliches Inkrafttretensdatum)</w:t>
      </w:r>
    </w:p>
    <w:p>
      <w:r>
        <w:t xml:space="preserve">(Fundstelle: BGBl. 2026 I Nr. 61, S. 7 - 10)</w:t>
      </w:r>
    </w:p>
    <w:p>
      <w:r>
        <w:t xml:space="preserve">Teil 1 – Landtiere</w:t>
      </w:r>
    </w:p>
    <w:p>
      <w:r>
        <w:rPr>
          <w:rFonts w:ascii="Courier New" w:hAnsi="Courier New"/>
          <w:sz w:val="17"/>
        </w:rPr>
        <w:t xml:space="preserve">1    2    3</w:t>
      </w:r>
    </w:p>
    <w:p>
      <w:r>
        <w:rPr>
          <w:rFonts w:ascii="Courier New" w:hAnsi="Courier New"/>
          <w:sz w:val="17"/>
        </w:rPr>
        <w:t xml:space="preserve">Nr.    Seuchen    Arten und Artengruppen</w:t>
      </w:r>
    </w:p>
    <w:p>
      <w:r>
        <w:rPr>
          <w:rFonts w:ascii="Courier New" w:hAnsi="Courier New"/>
          <w:sz w:val="17"/>
        </w:rPr>
        <w:t xml:space="preserve">Abschnitt 1</w:t>
      </w:r>
    </w:p>
    <w:p>
      <w:r>
        <w:rPr>
          <w:rFonts w:ascii="Courier New" w:hAnsi="Courier New"/>
          <w:sz w:val="17"/>
        </w:rPr>
        <w:t xml:space="preserve">Nach Artikel 5 Absatz 1 der Verordnung (EU) 2016/429 in der Fassung vom 25. Juli 2018 gelistete Seuchen</w:t>
      </w:r>
    </w:p>
    <w:p>
      <w:r>
        <w:rPr>
          <w:rFonts w:ascii="Courier New" w:hAnsi="Courier New"/>
          <w:sz w:val="17"/>
        </w:rPr>
        <w:t xml:space="preserve">1.    Maul- und Klauenseuche    Paarhufer, Rüsseltiere Artiodactyla, Proboscidea</w:t>
      </w:r>
    </w:p>
    <w:p>
      <w:r>
        <w:rPr>
          <w:rFonts w:ascii="Courier New" w:hAnsi="Courier New"/>
          <w:sz w:val="17"/>
        </w:rPr>
        <w:t xml:space="preserve">2.    Klassische Schweinepest    Schweine, Nabelschweine Suidae, Tayassuidae</w:t>
      </w:r>
    </w:p>
    <w:p>
      <w:r>
        <w:rPr>
          <w:rFonts w:ascii="Courier New" w:hAnsi="Courier New"/>
          <w:sz w:val="17"/>
        </w:rPr>
        <w:t xml:space="preserve">3.    Afrikanische Schweinepest    Schweine Suidae</w:t>
      </w:r>
    </w:p>
    <w:p>
      <w:r>
        <w:rPr>
          <w:rFonts w:ascii="Courier New" w:hAnsi="Courier New"/>
          <w:sz w:val="17"/>
        </w:rPr>
        <w:t xml:space="preserve">4.    Hochpathogene Aviäre Influenza (Geflügelpest)    Vögel, Säugetiere Aves, Mammalia</w:t>
      </w:r>
    </w:p>
    <w:p>
      <w:r>
        <w:rPr>
          <w:rFonts w:ascii="Courier New" w:hAnsi="Courier New"/>
          <w:sz w:val="17"/>
        </w:rPr>
        <w:t xml:space="preserve">5.    Afrikanische Pferdepest    Equiden Equidae</w:t>
      </w:r>
    </w:p>
    <w:p>
      <w:r>
        <w:rPr>
          <w:rFonts w:ascii="Courier New" w:hAnsi="Courier New"/>
          <w:sz w:val="17"/>
        </w:rPr>
        <w:t xml:space="preserve">6.    Infektion mit Brucella abortus, B. melitensis, B. suis    Rinder, Schafe, Ziegen, Schweine Bison ssp., Bos ssp., Bubalus ssp., Ovis ssp., Capra ssp., Suidae</w:t>
      </w:r>
    </w:p>
    <w:p>
      <w:r>
        <w:rPr>
          <w:rFonts w:ascii="Courier New" w:hAnsi="Courier New"/>
          <w:sz w:val="17"/>
        </w:rPr>
        <w:t xml:space="preserve">7.    Infektion mit dem Mycobacterium-tuberculosis-Komplex (M. bovis, M. caprae, M. tuberculosis)    RinderBison ssp., Bos ssp., Bubalus ssp.</w:t>
      </w:r>
    </w:p>
    <w:p>
      <w:r>
        <w:rPr>
          <w:rFonts w:ascii="Courier New" w:hAnsi="Courier New"/>
          <w:sz w:val="17"/>
        </w:rPr>
        <w:t xml:space="preserve">8.    Infektion mit dem Tollwut-Virus (RABV)    Säugetiere Mammalia</w:t>
      </w:r>
    </w:p>
    <w:p>
      <w:r>
        <w:rPr>
          <w:rFonts w:ascii="Courier New" w:hAnsi="Courier New"/>
          <w:sz w:val="17"/>
        </w:rPr>
        <w:t xml:space="preserve">9.    Infektiöse Bovine Rhinotracheitis/Infektiöse Pustulöse Vulvovaginitis    RinderBison ssp., Bos ssp., Bubalus ssp.</w:t>
      </w:r>
    </w:p>
    <w:p>
      <w:r>
        <w:rPr>
          <w:rFonts w:ascii="Courier New" w:hAnsi="Courier New"/>
          <w:sz w:val="17"/>
        </w:rPr>
        <w:t xml:space="preserve">10.    Bovine Virus Diarrhoe    RinderBison ssp., Bos ssp., Bubalus ssp.</w:t>
      </w:r>
    </w:p>
    <w:p>
      <w:r>
        <w:rPr>
          <w:rFonts w:ascii="Courier New" w:hAnsi="Courier New"/>
          <w:sz w:val="17"/>
        </w:rPr>
        <w:t xml:space="preserve">11.    Enzootische Leukose der Rinder    RinderBison ssp., Bos ssp., Bubalus ssp.</w:t>
      </w:r>
    </w:p>
    <w:p>
      <w:r>
        <w:rPr>
          <w:rFonts w:ascii="Courier New" w:hAnsi="Courier New"/>
          <w:sz w:val="17"/>
        </w:rPr>
        <w:t xml:space="preserve">12.    Infektion mit dem Virus der Aujeszkyschen Krankheit    Schweine Suidae</w:t>
      </w:r>
    </w:p>
    <w:p>
      <w:r>
        <w:rPr>
          <w:rFonts w:ascii="Courier New" w:hAnsi="Courier New"/>
          <w:sz w:val="17"/>
        </w:rPr>
        <w:t xml:space="preserve">13.    Milzbrand    Unpaarhufer, Paarhufer, Rüsseltiere Perissodactyla, Artiodactyla, Proboscidea</w:t>
      </w:r>
    </w:p>
    <w:p>
      <w:r>
        <w:rPr>
          <w:rFonts w:ascii="Courier New" w:hAnsi="Courier New"/>
          <w:sz w:val="17"/>
        </w:rPr>
        <w:t xml:space="preserve">14.    Ebola-Virus-Infektion    Menschenaffen, Schweine Nichtmenschliche Primaten, Suidae</w:t>
      </w:r>
    </w:p>
    <w:p>
      <w:r>
        <w:rPr>
          <w:rFonts w:ascii="Courier New" w:hAnsi="Courier New"/>
          <w:sz w:val="17"/>
        </w:rPr>
        <w:t xml:space="preserve">15.    Infektion mit dem Rinderpest-Virus    Paarhufer Artiodactyla</w:t>
      </w:r>
    </w:p>
    <w:p>
      <w:r>
        <w:rPr>
          <w:rFonts w:ascii="Courier New" w:hAnsi="Courier New"/>
          <w:sz w:val="17"/>
        </w:rPr>
        <w:t xml:space="preserve">16.    Infektion mit dem Rifttal-Fieber-Virus    Unpaarhufer, Gabelhornträger, Hornträger, Kamele, Hirsche, Giraffenartige, Flusspferde, Moschustiere, Rüsseltiere Perissodactyla, Antilocapridae, Bovidae, Camelidae, Cervidae, Giraffidae, Hippopotamidae, Moschidae, Proboscidea</w:t>
      </w:r>
    </w:p>
    <w:p>
      <w:r>
        <w:rPr>
          <w:rFonts w:ascii="Courier New" w:hAnsi="Courier New"/>
          <w:sz w:val="17"/>
        </w:rPr>
        <w:t xml:space="preserve">17.    Infektion mit dem Virus der Pest der kleinen Wiederkäuer    Schafe, Ziegen, Kamele, HirscheOvisssp., Capra ssp., Camelidae, Cervidae</w:t>
      </w:r>
    </w:p>
    <w:p>
      <w:r>
        <w:rPr>
          <w:rFonts w:ascii="Courier New" w:hAnsi="Courier New"/>
          <w:sz w:val="17"/>
        </w:rPr>
        <w:t xml:space="preserve">Nach Artikel 11 der Verordnung (EG) Nr. 999/2001 in der Fassung vom 19. Februar 2025</w:t>
      </w:r>
    </w:p>
    <w:p>
      <w:r>
        <w:rPr>
          <w:rFonts w:ascii="Courier New" w:hAnsi="Courier New"/>
          <w:sz w:val="17"/>
        </w:rPr>
        <w:t xml:space="preserve">18.    Transmissible spongiforme Enzephalopathie    Alle Tierarten</w:t>
      </w:r>
    </w:p>
    <w:p>
      <w:r>
        <w:rPr>
          <w:rFonts w:ascii="Courier New" w:hAnsi="Courier New"/>
          <w:sz w:val="17"/>
        </w:rPr>
        <w:t xml:space="preserve">Nicht nach EU-Recht gelistete Seuchen</w:t>
      </w:r>
    </w:p>
    <w:p>
      <w:r>
        <w:rPr>
          <w:rFonts w:ascii="Courier New" w:hAnsi="Courier New"/>
          <w:sz w:val="17"/>
        </w:rPr>
        <w:t xml:space="preserve">19.    Mpox    Säugetiere Mammalia</w:t>
      </w:r>
    </w:p>
    <w:p>
      <w:r>
        <w:rPr>
          <w:rFonts w:ascii="Courier New" w:hAnsi="Courier New"/>
          <w:sz w:val="17"/>
        </w:rPr>
        <w:t xml:space="preserve">Abschnitt 2</w:t>
      </w:r>
    </w:p>
    <w:p>
      <w:r>
        <w:rPr>
          <w:rFonts w:ascii="Courier New" w:hAnsi="Courier New"/>
          <w:sz w:val="17"/>
        </w:rPr>
        <w:t xml:space="preserve">Nach Artikel 5 Absatz 1 der Verordnung (EU) 2016/429 in der Fassung vom 25. Juli 2018 gelistete Seuchen</w:t>
      </w:r>
    </w:p>
    <w:p>
      <w:r>
        <w:rPr>
          <w:rFonts w:ascii="Courier New" w:hAnsi="Courier New"/>
          <w:sz w:val="17"/>
        </w:rPr>
        <w:t xml:space="preserve">1.    Infektion mit dem Virus der Epizootischen Hämorrhagie    Gabelhornträger, Hornträger, Kamele, Hirsche, Giraffenartige, Moschustiere, Hirschferkel Antilocapridae, Bovidae, Camelidae, Cervidae, Giraffidae, Moschidae, Tragulidae</w:t>
      </w:r>
    </w:p>
    <w:p>
      <w:r>
        <w:rPr>
          <w:rFonts w:ascii="Courier New" w:hAnsi="Courier New"/>
          <w:sz w:val="17"/>
        </w:rPr>
        <w:t xml:space="preserve">2.    Infektion mit dem Virus der Blauzungenkrankheit (Serotypen 1-24)    Gabelhornträger, Hornträger, Kamele, Hirsche, Giraffenartige, Moschustiere, Hirschferkel Antilocapridae, Bovidae, Camelidae, Cervidae, Giraffidae, Moschidae, Tragulidae</w:t>
      </w:r>
    </w:p>
    <w:p>
      <w:r>
        <w:rPr>
          <w:rFonts w:ascii="Courier New" w:hAnsi="Courier New"/>
          <w:sz w:val="17"/>
        </w:rPr>
        <w:t xml:space="preserve">3.    Surra (Trypanosoma evansi)    Equiden, Paarhufer Equidae, Artiodactyla</w:t>
      </w:r>
    </w:p>
    <w:p>
      <w:r>
        <w:rPr>
          <w:rFonts w:ascii="Courier New" w:hAnsi="Courier New"/>
          <w:sz w:val="17"/>
        </w:rPr>
        <w:t xml:space="preserve">4.    Japanische Enzephalitis    Equiden, Vögel, Schweine Equidae, Aves, Suidae</w:t>
      </w:r>
    </w:p>
    <w:p>
      <w:r>
        <w:rPr>
          <w:rFonts w:ascii="Courier New" w:hAnsi="Courier New"/>
          <w:sz w:val="17"/>
        </w:rPr>
        <w:t xml:space="preserve">5.    West-Nil-Fieber    Equiden, Vögel Equidae, Aves</w:t>
      </w:r>
    </w:p>
    <w:p>
      <w:r>
        <w:rPr>
          <w:rFonts w:ascii="Courier New" w:hAnsi="Courier New"/>
          <w:sz w:val="17"/>
        </w:rPr>
        <w:t xml:space="preserve">6.    Infektion mit dem Virus der Lumpy-skin-Krankheit    Rinder, Schafe, ZiegenBison ssp., Bos ssp., Bubalus ssp., Ovis ssp., Capra ssp.</w:t>
      </w:r>
    </w:p>
    <w:p>
      <w:r>
        <w:rPr>
          <w:rFonts w:ascii="Courier New" w:hAnsi="Courier New"/>
          <w:sz w:val="17"/>
        </w:rPr>
        <w:t xml:space="preserve">7.    Infektion mit Mycoplasma mycoides subsp.mycoides SC (Lungenseuche der Rinder)    Rinder, Kaffernbüffel (Afrikanischer Büffel)Bison ssp., Bos ssp., Bubalus ssp., Syncerus caffer</w:t>
      </w:r>
    </w:p>
    <w:p>
      <w:r>
        <w:rPr>
          <w:rFonts w:ascii="Courier New" w:hAnsi="Courier New"/>
          <w:sz w:val="17"/>
        </w:rPr>
        <w:t xml:space="preserve">8.    Bovine Genitale Campylobakteriose    RinderBison ssp., Bos ssp., Bubalus ssp.</w:t>
      </w:r>
    </w:p>
    <w:p>
      <w:r>
        <w:rPr>
          <w:rFonts w:ascii="Courier New" w:hAnsi="Courier New"/>
          <w:sz w:val="17"/>
        </w:rPr>
        <w:t xml:space="preserve">9.    Trichomonadose    RinderBison ssp., Bos ssp., Bubalus ssp.</w:t>
      </w:r>
    </w:p>
    <w:p>
      <w:r>
        <w:rPr>
          <w:rFonts w:ascii="Courier New" w:hAnsi="Courier New"/>
          <w:sz w:val="17"/>
        </w:rPr>
        <w:t xml:space="preserve">10.    Pockenseuche der Schafe und Ziegen    Gabelhornträger, Hornträger, Kamele, Hirsche, Giraffenartige, Moschustiere, Hirschferkel Antilocapridae, Bovidae, Camelidae, Cervidae, Giraffidae, Moschidae, Tragulidae</w:t>
      </w:r>
    </w:p>
    <w:p>
      <w:r>
        <w:rPr>
          <w:rFonts w:ascii="Courier New" w:hAnsi="Courier New"/>
          <w:sz w:val="17"/>
        </w:rPr>
        <w:t xml:space="preserve">11.    Infektion mit Mycoplasma capricolum subsp. capripneumoniae (Lungenseuche der Ziegen)    Schafe, Ziegen, GazellenOvis ssp., Capra ssp., Gazella ssp.</w:t>
      </w:r>
    </w:p>
    <w:p>
      <w:r>
        <w:rPr>
          <w:rFonts w:ascii="Courier New" w:hAnsi="Courier New"/>
          <w:sz w:val="17"/>
        </w:rPr>
        <w:t xml:space="preserve">12.    Infektion mit Burkholderia mallei (Rotz)    Equiden, Ziegen, Kamele Equidae, Capra ssp., Camelidae</w:t>
      </w:r>
    </w:p>
    <w:p>
      <w:r>
        <w:rPr>
          <w:rFonts w:ascii="Courier New" w:hAnsi="Courier New"/>
          <w:sz w:val="17"/>
        </w:rPr>
        <w:t xml:space="preserve">13.    Ansteckende Blutarmut der Einhufer    Equiden Equidae</w:t>
      </w:r>
    </w:p>
    <w:p>
      <w:r>
        <w:rPr>
          <w:rFonts w:ascii="Courier New" w:hAnsi="Courier New"/>
          <w:sz w:val="17"/>
        </w:rPr>
        <w:t xml:space="preserve">14.    Beschälseuche    Equiden Equidae</w:t>
      </w:r>
    </w:p>
    <w:p>
      <w:r>
        <w:rPr>
          <w:rFonts w:ascii="Courier New" w:hAnsi="Courier New"/>
          <w:sz w:val="17"/>
        </w:rPr>
        <w:t xml:space="preserve">15.    Venezolanische Pferdeenzephalomyelitis    Equiden Equidae</w:t>
      </w:r>
    </w:p>
    <w:p>
      <w:r>
        <w:rPr>
          <w:rFonts w:ascii="Courier New" w:hAnsi="Courier New"/>
          <w:sz w:val="17"/>
        </w:rPr>
        <w:t xml:space="preserve">16.    Östliche und Westliche Pferdeenzephalomyelitis    Equiden Equidae</w:t>
      </w:r>
    </w:p>
    <w:p>
      <w:r>
        <w:rPr>
          <w:rFonts w:ascii="Courier New" w:hAnsi="Courier New"/>
          <w:sz w:val="17"/>
        </w:rPr>
        <w:t xml:space="preserve">17.    Infektion mit dem Virus der Newcastle-Krankheit    Vögel Aves</w:t>
      </w:r>
    </w:p>
    <w:p>
      <w:r>
        <w:rPr>
          <w:rFonts w:ascii="Courier New" w:hAnsi="Courier New"/>
          <w:sz w:val="17"/>
        </w:rPr>
        <w:t xml:space="preserve">18.    Infektion mit den niedrigpathogenen Viren der Aviären Influenza    Vögel (gehaltene Tiere) Aves (gehaltene Tiere)</w:t>
      </w:r>
    </w:p>
    <w:p>
      <w:r>
        <w:rPr>
          <w:rFonts w:ascii="Courier New" w:hAnsi="Courier New"/>
          <w:sz w:val="17"/>
        </w:rPr>
        <w:t xml:space="preserve">19.    Befall mit Aethina tumida (Kleiner Bienenbeutenkäfer)    Honigbienen, Hummeln Apis, Bombus ssp.</w:t>
      </w:r>
    </w:p>
    <w:p>
      <w:r>
        <w:rPr>
          <w:rFonts w:ascii="Courier New" w:hAnsi="Courier New"/>
          <w:sz w:val="17"/>
        </w:rPr>
        <w:t xml:space="preserve">20.    Amerikanische Faulbrut    Honigbienen Apis</w:t>
      </w:r>
    </w:p>
    <w:p>
      <w:r>
        <w:rPr>
          <w:rFonts w:ascii="Courier New" w:hAnsi="Courier New"/>
          <w:sz w:val="17"/>
        </w:rPr>
        <w:t xml:space="preserve">21.    Befall mit der Tropilaelaps ssp.    Honigbienen Apis</w:t>
      </w:r>
    </w:p>
    <w:p>
      <w:r>
        <w:rPr>
          <w:rFonts w:ascii="Courier New" w:hAnsi="Courier New"/>
          <w:sz w:val="17"/>
        </w:rPr>
        <w:t xml:space="preserve">Nicht nach EU-Recht gelistete Seuchen</w:t>
      </w:r>
    </w:p>
    <w:p>
      <w:r>
        <w:rPr>
          <w:rFonts w:ascii="Courier New" w:hAnsi="Courier New"/>
          <w:sz w:val="17"/>
        </w:rPr>
        <w:t xml:space="preserve">22.    Infektion mit anderen Lyssaviren als dem Tollwut-Virus (EBLV etc.)    Säugetiere Mammalia</w:t>
      </w:r>
    </w:p>
    <w:p>
      <w:r>
        <w:t xml:space="preserve">Teil 2 – Wassertiere</w:t>
      </w:r>
    </w:p>
    <w:p>
      <w:r>
        <w:rPr>
          <w:rFonts w:ascii="Courier New" w:hAnsi="Courier New"/>
          <w:sz w:val="17"/>
        </w:rPr>
        <w:t xml:space="preserve">1    2    3</w:t>
      </w:r>
    </w:p>
    <w:p>
      <w:r>
        <w:rPr>
          <w:rFonts w:ascii="Courier New" w:hAnsi="Courier New"/>
          <w:sz w:val="17"/>
        </w:rPr>
        <w:t xml:space="preserve">Nr.    Seuchen    Arten und Artengruppen</w:t>
      </w:r>
    </w:p>
    <w:p>
      <w:r>
        <w:rPr>
          <w:rFonts w:ascii="Courier New" w:hAnsi="Courier New"/>
          <w:sz w:val="17"/>
        </w:rPr>
        <w:t xml:space="preserve">Nach Artikel 5 Absatz 1 der Verordnung (EU) 2016/429 in der Fassung vom 25. Juli 2018 gelistete Seuchen</w:t>
      </w:r>
    </w:p>
    <w:p>
      <w:r>
        <w:rPr>
          <w:rFonts w:ascii="Courier New" w:hAnsi="Courier New"/>
          <w:sz w:val="17"/>
        </w:rPr>
        <w:t xml:space="preserve">1.    Epizootische Hämatopoetische Nekrose    Ameiurus melas, Bidyanus bidyanus, Esox lucius, Galaxias olidus, Gambusia affinis, Gambusia holbrooki, Macquaria australasica, Melanotaenia fluviatilis, Oncorhynchus mykiss, Perca fluviatilis, Sander lucioperca</w:t>
      </w:r>
    </w:p>
    <w:p>
      <w:r>
        <w:rPr>
          <w:rFonts w:ascii="Courier New" w:hAnsi="Courier New"/>
          <w:sz w:val="17"/>
        </w:rPr>
        <w:t xml:space="preserve">2.    Virale Hämorrhagische Septikämie    Alosa immaculata, Ameiurus nebulosus, Ambloplites rupestris, Ammodytes hexapterus, Aplodinotus grunniens, Centrolabrus exoletus, Clupea harengus, Clupea pallasii pallasii, Coregonus artedii, Coregonus clupeaformis, Coregonus lavaretus, Ctenolabrus rupestris, Cyclopterus lumpus, Cymatogaster aggregata, Dorosoma cepedianum, Danio rerio, Engraulis encrasicolus, Esox lucius, Esox masquinongy, Fundulus heteroclitus, Gadus macrocephalus, Gadus morhua, Gaidropsarus vulgaris, Gasterosteus aculeatus, Labrus bergylta, Labrus mixtus, Lampetra fluviatilis, Lepomis gibbosus, Lepomis macrochirus, Limanda limanda, Merlangius merlangus, Micropterus dolomieu, Micropterus salmoides, Micromesistius poutassou, Morone americana, Morone chrysops, Morone saxatilis, Mullus barbatus, Neogobius melanostomus, Notropis atherinoides, Notropis hudsonius, Oncorhynchus kisutch, Oncorhynchus mykiss, Oncorhynchus mykiss x Oncorhynchus kisutch Hybriden, Oncorhynchus tshawytscha, Paralichthys olivaceus, Perca flavescens, Pimephales notatus, Pimephales promelas, Platichthys flesus, Pleuronectes platessa, Pomatoschistus minutus, Pomoxis nigromaculatus, Raja clavata, Salmo marmoratus, Salmo salar, Salmo trutta, Salvelinus namaycush, Sander vitreus, Sardina pilchardus, Sardinops sagax, Scomber japonicus, Scophthalmus maximus, Solea senegalensis, Sprattus sprattus, Symphodus melops, Thaleichthys pacificus, Trachurus mediterraneus, Trisopterus esmarkii, Thymallus thymallus, Uranoscopus scaber</w:t>
      </w:r>
    </w:p>
    <w:p>
      <w:r>
        <w:rPr>
          <w:rFonts w:ascii="Courier New" w:hAnsi="Courier New"/>
          <w:sz w:val="17"/>
        </w:rPr>
        <w:t xml:space="preserve">3.    Infektiöse Hämatopoetische Nekrose    Esox lucius, Onchorynchus clarkii, Oncorhynchus keta, Oncorhynchus kisutch, Oncorhynchus masou, Oncorhynchus mykiss, Oncorhynchus nerka, Oncorhynchus tshawytscha, Salmo marmoratus, Salvelinus namaycush, Salmo salar, Salmo trutta, Salvelinus alpinus, Salvelinus fontinalis</w:t>
      </w:r>
    </w:p>
    <w:p>
      <w:r>
        <w:rPr>
          <w:rFonts w:ascii="Courier New" w:hAnsi="Courier New"/>
          <w:sz w:val="17"/>
        </w:rPr>
        <w:t xml:space="preserve">4.    Infektion mit dem HPR-deletierten Virus der Ansteckenden Blutarmut der Lachse    Oncorynchus mykiss, Salmo salar,Salmo trutta</w:t>
      </w:r>
    </w:p>
    <w:p>
      <w:r>
        <w:rPr>
          <w:rFonts w:ascii="Courier New" w:hAnsi="Courier New"/>
          <w:sz w:val="17"/>
        </w:rPr>
        <w:t xml:space="preserve">5.    Infektion mit Microcytos mackini    Crassostrea gigas, Crassostrea sikamea, Ostrea edulis</w:t>
      </w:r>
    </w:p>
    <w:p>
      <w:r>
        <w:rPr>
          <w:rFonts w:ascii="Courier New" w:hAnsi="Courier New"/>
          <w:sz w:val="17"/>
        </w:rPr>
        <w:t xml:space="preserve">6.    Infektion mit Perkinsus marinus    Crassostrea gigas, Crassostreavirginica</w:t>
      </w:r>
    </w:p>
    <w:p>
      <w:r>
        <w:rPr>
          <w:rFonts w:ascii="Courier New" w:hAnsi="Courier New"/>
          <w:sz w:val="17"/>
        </w:rPr>
        <w:t xml:space="preserve">7.    Infektion mit dem Taura-Syndrom-Virus    Metapenaeus ensis, Penaeus aztecus, Penaeus monodon, Penaeus setiferus, Penaeus stylirostris, Penaeus vannamei</w:t>
      </w:r>
    </w:p>
    <w:p>
      <w:r>
        <w:rPr>
          <w:rFonts w:ascii="Courier New" w:hAnsi="Courier New"/>
          <w:sz w:val="17"/>
        </w:rPr>
        <w:t xml:space="preserve">8.    Infektion mit dem Virus der Gelbkopf-Krankheit    Metapenaeus affinis, Penaeus monodon, Palaemonetes pugio, Penaeus stylirostris, Penaeus vannamei</w:t>
      </w:r>
    </w:p>
    <w:p>
      <w:r>
        <w:rPr>
          <w:rFonts w:ascii="Courier New" w:hAnsi="Courier New"/>
          <w:sz w:val="17"/>
        </w:rPr>
        <w:t xml:space="preserve">9.    Infektion mit dem Virus der Weißpünktchenkrankheit    Alle zehnfüßigen Krebstiere (Ordnung der Dekapoden)</w:t>
      </w:r>
    </w:p>
    <w:p>
      <w:r>
        <w:t xml:space="preserve">Teil 3 – Sonstige Tiere</w:t>
      </w:r>
    </w:p>
    <w:p>
      <w:r>
        <w:rPr>
          <w:rFonts w:ascii="Courier New" w:hAnsi="Courier New"/>
          <w:sz w:val="17"/>
        </w:rPr>
        <w:t xml:space="preserve">1    2    3</w:t>
      </w:r>
    </w:p>
    <w:p>
      <w:r>
        <w:rPr>
          <w:rFonts w:ascii="Courier New" w:hAnsi="Courier New"/>
          <w:sz w:val="17"/>
        </w:rPr>
        <w:t xml:space="preserve">Nr.    Seuchen    Arten und Artengruppen</w:t>
      </w:r>
    </w:p>
    <w:p>
      <w:r>
        <w:rPr>
          <w:rFonts w:ascii="Courier New" w:hAnsi="Courier New"/>
          <w:sz w:val="17"/>
        </w:rPr>
        <w:t xml:space="preserve">Nach Artikel 5 Absatz 1 der Verordnung (EU) 2016/429 in der Fassung vom 25. Juli 2018 gelistete Seuchen</w:t>
      </w:r>
    </w:p>
    <w:p>
      <w:r>
        <w:rPr>
          <w:rFonts w:ascii="Courier New" w:hAnsi="Courier New"/>
          <w:sz w:val="17"/>
        </w:rPr>
        <w:t xml:space="preserve">1.    Infektion mit Batrachochytrium salamandrivorans    Schwanzlurche Caudata</w:t>
      </w:r>
    </w:p>
    <w:p>
      <w:r>
        <w:rPr>
          <w:color w:val="555555"/>
          <w:sz w:val="17"/>
        </w:rPr>
        <w:t xml:space="preserve">Zitiervorschlag: Anlage 1 TierSeuchMeldV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https://recht.nulegal.eu/gesetze/TierSeuchMeldV/anlage-1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