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TierSeuchMeldV — Begriffsbestimmungen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Im Anwendungsbereich dieser Verordnung gelten die Begriffsbestimmungen</w:t>
      </w:r>
    </w:p>
    <w:p>
      <w:pPr>
        <w:ind w:left="420"/>
      </w:pPr>
      <w:r>
        <w:t xml:space="preserve">1. der Verordnung (EU) 2016/429 in der Fassung vom 25. Juli 2018,</w:t>
      </w:r>
    </w:p>
    <w:p>
      <w:pPr>
        <w:ind w:left="420"/>
      </w:pPr>
      <w:r>
        <w:t xml:space="preserve">2. der auf Grundlage von Vorschriften der Verordnung (EU) 2016/429 erlassenen Delegierten Verordnungen und Durchführungsverordnungen und</w:t>
      </w:r>
    </w:p>
    <w:p>
      <w:pPr>
        <w:ind w:left="420"/>
      </w:pPr>
      <w:r>
        <w:t xml:space="preserve">3. der Verordnung (EU) 2017/625 in der Fassung vom 27. November 2024, soweit in Satz 2 nichts anderes geregelt ist.</w:t>
      </w:r>
    </w:p>
    <w:p>
      <w:r>
        <w:t xml:space="preserve">Unternehmer im Sinne dieser Verordnung sind Unternehmer im Sinne des Artikels 4 Nummer 24 der Verordnung (EU) 2016/429 in der Fassung vom 25. Juli 2018.</w:t>
      </w:r>
    </w:p>
    <w:p>
      <w:r>
        <w:t xml:space="preserve">(2) Arten und Artengruppen der Huftiere im Sinne dieser Verordnung sind Huftierarten im Sinne des Anhangs III der Verordnung (EU) 2016/429 in der Fassung vom 25. Juli 2018.</w:t>
      </w:r>
    </w:p>
    <w:p>
      <w:r>
        <w:rPr>
          <w:color w:val="555555"/>
          <w:sz w:val="17"/>
        </w:rPr>
        <w:t xml:space="preserve">Zitiervorschlag: § 2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