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TierSeuchMeldV — Bestimmung der Seuchen nach § 4 Absatz 2 des Tiergesundheitsgesetzes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Seuchen im Sinne des § 2 Absatz 2, § 16 Absatz 3 Nummer 1, § 18 Absatz 1 Satz 1 Nummer 2 und § 27 Absatz 5 Satz 1 Nummer 1 des Tiergesundheitsgesetzes sind solche, die in Anlage 1 jeweils in Spalte 2 oder Anlage 2 jeweils in Spalte 2 dieser Verordnung aufgeführt sind.</w:t>
      </w:r>
    </w:p>
    <w:p>
      <w:r>
        <w:t xml:space="preserve">(2) Seuchen im Sinne des § 5 Absatz 1 Satz 1 und Satz 4, Absatz 2 und Absatz 3 Satz 4, § 15 Nummer 2 und § 41 Satz 1 des Tiergesundheitsgesetzes sind solche, die in Anlage 1 jeweils in Spalte 2 dieser Verordnung aufgeführt sind.</w:t>
      </w:r>
    </w:p>
    <w:p>
      <w:r>
        <w:rPr>
          <w:color w:val="555555"/>
          <w:sz w:val="17"/>
        </w:rPr>
        <w:t xml:space="preserve">Zitiervorschlag: § 12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