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TierSeuchMeldV — Zweck der Verordnung</w:t>
      </w:r>
    </w:p>
    <w:p>
      <w:r>
        <w:rPr>
          <w:color w:val="555555"/>
          <w:sz w:val="18"/>
        </w:rPr>
        <w:t xml:space="preserve">Tierseuchenmeldeverordnung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Diese Verordnung bezweckt die Vorbeugung vor Seuchen bei Tieren und deren Bekämpfung. Sie dient ferner der Umsetzung der Richtlinie 2003/99/EG und der Durchführung</w:t>
      </w:r>
    </w:p>
    <w:p>
      <w:pPr>
        <w:ind w:left="420"/>
      </w:pPr>
      <w:r>
        <w:t xml:space="preserve">1. der Verordnung (EG) Nr. 999/2001,</w:t>
      </w:r>
    </w:p>
    <w:p>
      <w:pPr>
        <w:ind w:left="420"/>
      </w:pPr>
      <w:r>
        <w:t xml:space="preserve">2. der Verordnung (EG) Nr. 2160/2003,</w:t>
      </w:r>
    </w:p>
    <w:p>
      <w:pPr>
        <w:ind w:left="420"/>
      </w:pPr>
      <w:r>
        <w:t xml:space="preserve">3. der Verordnung (EU) 2016/429 sowie</w:t>
      </w:r>
    </w:p>
    <w:p>
      <w:pPr>
        <w:ind w:left="420"/>
      </w:pPr>
      <w:r>
        <w:t xml:space="preserve">4. der auf Grundlage von Vorschriften der Verordnung (EU) 2016/429 erlassenen Delegierten Verordnungen und Durchführungsverordnungen.</w:t>
      </w:r>
    </w:p>
    <w:p>
      <w:r>
        <w:rPr>
          <w:color w:val="555555"/>
          <w:sz w:val="17"/>
        </w:rPr>
        <w:t xml:space="preserve">Zitiervorschlag: § 1 TierSeuchMeldV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https://recht.nulegal.eu/gesetze/TierSeuchMeldV/1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