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TierSeuchErV — Versagen der Erlaubnis</w:t>
      </w:r>
    </w:p>
    <w:p>
      <w:r>
        <w:rPr>
          <w:color w:val="555555"/>
          <w:sz w:val="18"/>
        </w:rPr>
        <w:t xml:space="preserve">Tierseuchenerreger-Verordnung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Erlaubnis ist zu versagen, wenn</w:t>
      </w:r>
    </w:p>
    <w:p>
      <w:pPr>
        <w:ind w:left="420"/>
      </w:pPr>
      <w:r>
        <w:t xml:space="preserve">1. der Antragsteller</w:t>
      </w:r>
    </w:p>
    <w:p>
      <w:pPr>
        <w:ind w:left="780"/>
      </w:pPr>
      <w:r>
        <w:t xml:space="preserve">a) die erforderliche Sachkenntnis nicht hat,</w:t>
      </w:r>
    </w:p>
    <w:p>
      <w:pPr>
        <w:ind w:left="780"/>
      </w:pPr>
      <w:r>
        <w:t xml:space="preserve">b) sich als unzuverlässig in bezug auf die Tätigkeiten erwiesen hat, für deren Ausübung die Erlaubnis begehrt wird,</w:t>
      </w:r>
    </w:p>
    <w:p>
      <w:pPr>
        <w:ind w:left="420"/>
      </w:pPr>
      <w:r>
        <w:t xml:space="preserve">2. geeignete Räume oder Einrichtungen nicht vorhanden sind oder</w:t>
      </w:r>
    </w:p>
    <w:p>
      <w:pPr>
        <w:ind w:left="420"/>
      </w:pPr>
      <w:r>
        <w:t xml:space="preserve">3. Belange der Tierseuchenbekämpfung entgegenstehen.</w:t>
      </w:r>
    </w:p>
    <w:p>
      <w:r>
        <w:t xml:space="preserve">(2) Die erforderliche Sachkenntnis wird nachgewiesen durch</w:t>
      </w:r>
    </w:p>
    <w:p>
      <w:pPr>
        <w:ind w:left="420"/>
      </w:pPr>
      <w:r>
        <w:t xml:space="preserve">1. die Approbation als Tierarzt, Arzt oder Apotheker oder den Abschluß eines Hochschulstudiums der Biologie, der Lebensmittelchemie und</w:t>
      </w:r>
    </w:p>
    <w:p>
      <w:pPr>
        <w:ind w:left="420"/>
      </w:pPr>
      <w:r>
        <w:t xml:space="preserve">2. eine mindestens dreijährige Tätigkeit auf allen in § 2 Abs. 1 Nr. 1 genannten Gebieten oder auf dem Gebiet, für das eine Erlaubnis beantragt worden ist.</w:t>
      </w:r>
    </w:p>
    <w:p>
      <w:r>
        <w:t xml:space="preserve">(3) Wenn der Antragsteller nicht selbst die Leitung der Tätigkeiten übernimmt, so darf bei ihm der Versagungsgrund nach Absatz 1 Nr. 1 Buchstabe b und dürfen bei der von ihm mit der Leitung beauftragten Person die Versagungsgründe nach Absatz 1 Nr. 1 nicht vorliegen. Bei juristischen Personen und Handelsgesellschaften darf der Versagungsgrund nach Absatz 1 Nr. 1 Buchstabe b bei den nach Gesetz, Satzung oder Gesellschaftsvertrag zur Vertretung berufenen Personen nicht vorliegen.</w:t>
      </w:r>
    </w:p>
    <w:p>
      <w:r>
        <w:rPr>
          <w:color w:val="555555"/>
          <w:sz w:val="17"/>
        </w:rPr>
        <w:t xml:space="preserve">Zitiervorschlag: § 4 TierSeuchErV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https://recht.nulegal.eu/gesetze/TierSeuchErV/4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