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TierSeuchErV — Erlaubnisfreies Arbeiten, Erwerben oder Abgeben</w:t>
      </w:r>
    </w:p>
    <w:p>
      <w:r>
        <w:rPr>
          <w:color w:val="555555"/>
          <w:sz w:val="18"/>
        </w:rPr>
        <w:t xml:space="preserve">Tierseuchenerreger-Verordnung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Erlaubnis bedarf nicht, wer</w:t>
      </w:r>
    </w:p>
    <w:p>
      <w:pPr>
        <w:ind w:left="420"/>
      </w:pPr>
      <w:r>
        <w:t xml:space="preserve">1. Sterilitätsprüfungen und Bestimmungen der Koloniezahl</w:t>
      </w:r>
    </w:p>
    <w:p>
      <w:pPr>
        <w:ind w:left="780"/>
      </w:pPr>
      <w:r>
        <w:t xml:space="preserve">a) im Zusammenhang mit der Herstellung und bei der Prüfung von Arzneimitteln,</w:t>
      </w:r>
    </w:p>
    <w:p>
      <w:pPr>
        <w:ind w:left="780"/>
      </w:pPr>
      <w:r>
        <w:t xml:space="preserve">b) bei der Herstellung und der Prüfung von Lebensmitteln einschließlich Trinkwasser, Tabakerzeugnissen, kosmetischen Mitteln und Bedarfsgegenständen sowie</w:t>
      </w:r>
    </w:p>
    <w:p>
      <w:pPr>
        <w:ind w:left="780"/>
      </w:pPr>
      <w:r>
        <w:t xml:space="preserve">c) bei der Untersuchung von Wasser, das zum Schwimmen oder Baden genutzt wird, oder</w:t>
      </w:r>
    </w:p>
    <w:p>
      <w:pPr>
        <w:ind w:left="420"/>
      </w:pPr>
      <w:r>
        <w:t xml:space="preserve">2. nach einer mindestens dreimonatigen hierfür vorgeschriebenen Ausbildung die bakteriologische Fleischuntersuchung in tierärztlich geleiteten amtlichen Untersuchungsstellen</w:t>
      </w:r>
    </w:p>
    <w:p>
      <w:r>
        <w:t xml:space="preserve">vornimmt.</w:t>
      </w:r>
    </w:p>
    <w:p>
      <w:r>
        <w:t xml:space="preserve">(2) Der Erlaubnis zum Arbeiten mit den in § 1 Nr. 2 bezeichneten Tierseuchenerregern oder zum Erwerben oder Abgeben dieser Tierseuchenerreger bedürfen nicht</w:t>
      </w:r>
    </w:p>
    <w:p>
      <w:pPr>
        <w:ind w:left="420"/>
      </w:pPr>
      <w:r>
        <w:t xml:space="preserve">1. Tierärzte und Ärzte für diagnostische Untersuchungen oder therapeutische Maßnahmen im Rahmen ihrer Praxis,</w:t>
      </w:r>
    </w:p>
    <w:p>
      <w:pPr>
        <w:ind w:left="420"/>
      </w:pPr>
      <w:r>
        <w:t xml:space="preserve">2. Tierkliniken und Krankenhäuser für diagnostische Untersuchungen oder therapeutische Maßnahmen in ihrem Arbeitsbereich unter tierärztlicher oder ärztlicher Leitung,</w:t>
      </w:r>
    </w:p>
    <w:p>
      <w:pPr>
        <w:ind w:left="420"/>
      </w:pPr>
      <w:r>
        <w:t xml:space="preserve">3. tierärztlich oder ärztlich geleitete staatliche oder kommunale Veterinärämter, Veterinäruntersuchungsämter, Medizinaluntersuchungsämter, Hygiene-Institute, Gesundheitsämter und Tiergesundheitsämter sowie öffentliche Forschungsinstitute oder Laboratorien, deren Aufgabe das Arbeiten mit Tierseuchenerregern erfordert.</w:t>
      </w:r>
    </w:p>
    <w:p>
      <w:r>
        <w:t xml:space="preserve">(3) Der Erlaubnis bedarf nicht, wer unter Aufsicht des Inhabers einer Erlaubnis oder desjenigen tätig ist, der nach Absatz 1 oder 2 keiner Erlaubnis bedarf.</w:t>
      </w:r>
    </w:p>
    <w:p>
      <w:r>
        <w:t xml:space="preserve">(4) Der Erlaubnis bedarf nicht, wer Tierseuchenerreger oder Material, das Tierseuchenerreger enthält, zur Untersuchung an eine Person oder Einrichtung abgibt, die eine Erlaubnis nach § 2 hat oder nach Absatz 1 oder 2 einer solchen Erlaubnis nicht bedarf.</w:t>
      </w:r>
    </w:p>
    <w:p>
      <w:r>
        <w:t xml:space="preserve">(5) Der Erlaubnis bedarf nicht, wer eine Zulassung nach § 33a Absatz 2 der MKS-Verordnung besitzt.</w:t>
      </w:r>
    </w:p>
    <w:p>
      <w:r>
        <w:rPr>
          <w:color w:val="555555"/>
          <w:sz w:val="17"/>
        </w:rPr>
        <w:t xml:space="preserve">Zitiervorschlag: § 3 TierSeuchErV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https://recht.nulegal.eu/gesetze/TierSeuchErV/3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