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TierSeuchErV — Erlaubnis</w:t>
      </w:r>
    </w:p>
    <w:p>
      <w:r>
        <w:rPr>
          <w:color w:val="555555"/>
          <w:sz w:val="18"/>
        </w:rPr>
        <w:t xml:space="preserve">Tierseuchenerreger-Verordnung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</w:t>
      </w:r>
    </w:p>
    <w:p>
      <w:pPr>
        <w:ind w:left="420"/>
      </w:pPr>
      <w:r>
        <w:t xml:space="preserve">1. mit Tierseuchenerregern arbeiten, insbesondere</w:t>
      </w:r>
    </w:p>
    <w:p>
      <w:pPr>
        <w:ind w:left="780"/>
      </w:pPr>
      <w:r>
        <w:t xml:space="preserve">a) Versuche,</w:t>
      </w:r>
    </w:p>
    <w:p>
      <w:pPr>
        <w:ind w:left="780"/>
      </w:pPr>
      <w:r>
        <w:t xml:space="preserve">b) mikrobiologische oder serologische Untersuchungen zur Feststellung übertragbarer Tierkrankheiten oder</w:t>
      </w:r>
    </w:p>
    <w:p>
      <w:pPr>
        <w:ind w:left="780"/>
      </w:pPr>
      <w:r>
        <w:t xml:space="preserve">c) Fortzüchtung</w:t>
      </w:r>
    </w:p>
    <w:p>
      <w:pPr>
        <w:ind w:left="420"/>
      </w:pPr>
      <w:r>
        <w:t xml:space="preserve">vornehmen will oder</w:t>
      </w:r>
    </w:p>
    <w:p>
      <w:pPr>
        <w:ind w:left="420"/>
      </w:pPr>
      <w:r>
        <w:t xml:space="preserve">2. Tierseuchenerreger erwerben oder abgeben will,</w:t>
      </w:r>
    </w:p>
    <w:p>
      <w:r>
        <w:t xml:space="preserve">bedarf einer Erlaubnis der zuständigen Behörde.</w:t>
      </w:r>
    </w:p>
    <w:p>
      <w:r>
        <w:t xml:space="preserve">(2) Eine nach den bisherigen Vorschriften erteilte Erlaubnis für eine Tätigkeit nach Absatz 1 gilt als Erlaubnis im Sinne dieser Verordnung.</w:t>
      </w:r>
    </w:p>
    <w:p>
      <w:r>
        <w:rPr>
          <w:color w:val="555555"/>
          <w:sz w:val="17"/>
        </w:rPr>
        <w:t xml:space="preserve">Zitiervorschlag: § 2 TierSeuchErV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https://recht.nulegal.eu/gesetze/TierSeuchErV/2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