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TierSeuchErV — Inkrafttreten</w:t>
      </w:r>
    </w:p>
    <w:p>
      <w:r>
        <w:rPr>
          <w:color w:val="555555"/>
          <w:sz w:val="18"/>
        </w:rPr>
        <w:t xml:space="preserve">Tierseuchenerreger-Verordnung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Tage nach der Verkündung in Kraft.</w:t>
      </w:r>
    </w:p>
    <w:p>
      <w:r>
        <w:rPr>
          <w:color w:val="555555"/>
          <w:sz w:val="17"/>
        </w:rPr>
        <w:t xml:space="preserve">Zitiervorschlag: § 11 TierSeuchErV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https://recht.nulegal.eu/gesetze/TierSeuchErV/11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