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TierSeuchErV — Ordnungswidrigkeiten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ohne Erlaubnis nach § 2 Absatz 1 mit einem Tierseuchenerreger arbeitet oder einen Tierseuchenerreger erwirbt oder abgibt,</w:t>
      </w:r>
    </w:p>
    <w:p>
      <w:pPr>
        <w:ind w:left="420"/>
      </w:pPr>
      <w:r>
        <w:t xml:space="preserve">2. einer mit einer Erlaubnis nach § 2 Absatz 1 verbundenen vollziehbaren Auflage zuwiderhandelt,</w:t>
      </w:r>
    </w:p>
    <w:p>
      <w:pPr>
        <w:ind w:left="420"/>
      </w:pPr>
      <w:r>
        <w:t xml:space="preserve">3. entgegen § 5 oder § 6 eine Anzeige nicht, nicht richtig, nicht vollständig oder nicht rechtzeitig erstattet,</w:t>
      </w:r>
    </w:p>
    <w:p>
      <w:pPr>
        <w:ind w:left="420"/>
      </w:pPr>
      <w:r>
        <w:t xml:space="preserve">4. einer vollziehbaren Anordnung nach § 7 zuwiderhandelt,</w:t>
      </w:r>
    </w:p>
    <w:p>
      <w:pPr>
        <w:ind w:left="420"/>
      </w:pPr>
      <w:r>
        <w:t xml:space="preserve">5. entgegen § 8 einen Tierseuchenerreger oder dort genanntes Material abgibt,</w:t>
      </w:r>
    </w:p>
    <w:p>
      <w:pPr>
        <w:ind w:left="420"/>
      </w:pPr>
      <w:r>
        <w:t xml:space="preserve">6. entgegen § 9 Satz 1 nicht, nicht richtig oder nicht vollständig Buch führt oder</w:t>
      </w:r>
    </w:p>
    <w:p>
      <w:pPr>
        <w:ind w:left="420"/>
      </w:pPr>
      <w:r>
        <w:t xml:space="preserve">7. entgegen § 9 Satz 4 ein Buch nicht oder nicht mindestens fünf Jahre aufbewahrt.</w:t>
      </w:r>
    </w:p>
    <w:p>
      <w:r>
        <w:rPr>
          <w:color w:val="555555"/>
          <w:sz w:val="17"/>
        </w:rPr>
        <w:t xml:space="preserve">Zitiervorschlag: § 10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