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TierSeuchErV — Begriffsbestimmung</w:t>
      </w:r>
    </w:p>
    <w:p>
      <w:r>
        <w:rPr>
          <w:color w:val="555555"/>
          <w:sz w:val="18"/>
        </w:rPr>
        <w:t xml:space="preserve">Tierseuchenerreger-Verordnung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Diese Verordnung gilt für vermehrungsfähige Erreger oder vermehrungsfähige Teile von Erregern</w:t>
      </w:r>
    </w:p>
    <w:p>
      <w:pPr>
        <w:ind w:left="420"/>
      </w:pPr>
      <w:r>
        <w:t xml:space="preserve">1. anzeigepflichtiger Tierseuchen und</w:t>
      </w:r>
    </w:p>
    <w:p>
      <w:pPr>
        <w:ind w:left="420"/>
      </w:pPr>
      <w:r>
        <w:t xml:space="preserve">2. anderer auf Haustiere oder Süßwasserfische übertragbarer Krankheiten</w:t>
      </w:r>
    </w:p>
    <w:p>
      <w:r>
        <w:t xml:space="preserve">(Tierseuchenerreger).</w:t>
      </w:r>
    </w:p>
    <w:p>
      <w:r>
        <w:rPr>
          <w:color w:val="555555"/>
          <w:sz w:val="17"/>
        </w:rPr>
        <w:t xml:space="preserve">Zitiervorschlag: § 1 TierSeuchErV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