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TierSeuchErEinfV</w:t>
      </w:r>
    </w:p>
    <w:p>
      <w:r>
        <w:rPr>
          <w:color w:val="555555"/>
          <w:sz w:val="18"/>
        </w:rPr>
        <w:t xml:space="preserve">Tierseuchenerreger-Einfuhrverordnung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drei Monate nach der Verkündung in Kraft.</w:t>
      </w:r>
    </w:p>
    <w:p>
      <w:r>
        <w:rPr>
          <w:color w:val="555555"/>
          <w:sz w:val="17"/>
        </w:rPr>
        <w:t xml:space="preserve">Zitiervorschlag: § 9 TierSeuchErEinfV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https://recht.nulegal.eu/gesetze/TierSeuchErEinfV/9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