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TierSeuchErEinfV</w:t>
      </w:r>
    </w:p>
    <w:p>
      <w:r>
        <w:rPr>
          <w:color w:val="555555"/>
          <w:sz w:val="18"/>
        </w:rPr>
        <w:t xml:space="preserve">Tierseuchenerreger-Einfuhrverordnung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Nach § 31 Absatz 1 Nummer 2, Absatz 3 bis 5 des Tiergesundheitsgesetzes wird bestraft, wer vorsätzlich oder fahrlässig</w:t>
      </w:r>
    </w:p>
    <w:p>
      <w:pPr>
        <w:ind w:left="420"/>
      </w:pPr>
      <w:r>
        <w:t xml:space="preserve">1. entgegen § 1a oder § 4a Absatz 1 einen Tierseuchenerreger, einen Impfstoff oder eine Antigenpräparation verbringt oder einführt oder</w:t>
      </w:r>
    </w:p>
    <w:p>
      <w:pPr>
        <w:ind w:left="420"/>
      </w:pPr>
      <w:r>
        <w:t xml:space="preserve">2. einer vollziehbaren Auflage nach § 2 Absatz 2 Satz 3, § 3 Satz 2, § 4 Satz 2, § 5 Absatz 1 Satz 3, § 6 Absatz 1 Satz 2 oder Absatz 2 Satz 2 oder § 7 Satz 2 erster Halbsatz zuwiderhandelt.</w:t>
      </w:r>
    </w:p>
    <w:p>
      <w:r>
        <w:rPr>
          <w:color w:val="555555"/>
          <w:sz w:val="17"/>
        </w:rPr>
        <w:t xml:space="preserve">Zitiervorschlag: § 8 TierSeuchErEinfV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https://recht.nulegal.eu/gesetze/TierSeuchErEinfV/8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