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TierSeuchErEinfV</w:t>
      </w:r>
    </w:p>
    <w:p>
      <w:r>
        <w:rPr>
          <w:color w:val="555555"/>
          <w:sz w:val="18"/>
        </w:rPr>
        <w:t xml:space="preserve">Tierseuchenerreger-Einfuhrverordnung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zuständigen obersten Landesbehörden können im Benehmen mit dem Bundesministerium für Ernährung und Landwirtschaft abweichend von den §§ 5 und 6 das Verbringen und die Einfuhr von Impfstoffen, die Tierseuchenerreger enthalten, im Einzelfall genehmigen</w:t>
      </w:r>
    </w:p>
    <w:p>
      <w:pPr>
        <w:ind w:left="420"/>
      </w:pPr>
      <w:r>
        <w:t xml:space="preserve">1. für Zwecke der staatlichen Tierseuchenbekämpfung,</w:t>
      </w:r>
    </w:p>
    <w:p>
      <w:pPr>
        <w:ind w:left="420"/>
      </w:pPr>
      <w:r>
        <w:t xml:space="preserve">2. zur Durchführung wissenschaftlich geleiteter Versuche, sofern ein Bedürfnis für diese Versuche zur Tierseuchenbekämpfung im Inland besteht,</w:t>
      </w:r>
    </w:p>
    <w:p>
      <w:pPr>
        <w:ind w:left="420"/>
      </w:pPr>
      <w:r>
        <w:t xml:space="preserve">3. zur Anwendung an Tieren, die nach anderen Mitgliedstaaten verbracht oder ausgeführt werden, wenn das Bestimmungsland die Anwendung bestimmter Impfstoffe fordert, oder</w:t>
      </w:r>
    </w:p>
    <w:p>
      <w:pPr>
        <w:ind w:left="780"/>
      </w:pPr>
      <w:r>
        <w:t xml:space="preserve">a) zur Durchführung wissenschaftlicher Qualitätsprüfungen bei und</w:t>
      </w:r>
    </w:p>
    <w:p>
      <w:pPr>
        <w:ind w:left="780"/>
      </w:pPr>
      <w:r>
        <w:t xml:space="preserve">b) zum Zubereiten, Umfüllen einschließlich Abfüllen, Abpacken oder Kennzeichnen von</w:t>
      </w:r>
    </w:p>
    <w:p>
      <w:pPr>
        <w:ind w:left="420"/>
      </w:pPr>
      <w:r>
        <w:t xml:space="preserve">im Ausland hergestellten Impfstoffen, für die ein späterer Einsatz in der Bundesrepublik Deutschland nicht vorgesehen ist.</w:t>
      </w:r>
    </w:p>
    <w:p>
      <w:r>
        <w:t xml:space="preserve">Die Genehmigung kann mit Nebenbestimmungen versehen werden; § 5 Abs. 1 Satz 3 und 4 und Abs. 2 gilt entsprechend.</w:t>
      </w:r>
    </w:p>
    <w:p>
      <w:r>
        <w:rPr>
          <w:color w:val="555555"/>
          <w:sz w:val="17"/>
        </w:rPr>
        <w:t xml:space="preserve">Zitiervorschlag: § 7 TierSeuchErEinfV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https://recht.nulegal.eu/gesetze/TierSeuchErEinfV/7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