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TierSeuchErEinfV</w:t>
      </w:r>
    </w:p>
    <w:p>
      <w:r>
        <w:rPr>
          <w:color w:val="555555"/>
          <w:sz w:val="18"/>
        </w:rPr>
        <w:t xml:space="preserve">Tierseuchenerreger-Einfuhrverordnung</w:t>
      </w:r>
    </w:p>
    <w:p>
      <w:r>
        <w:rPr>
          <w:color w:val="555555"/>
          <w:sz w:val="18"/>
        </w:rPr>
        <w:t xml:space="preserve">Stand: 10.06.2019 (konsolidierte Textfassung, kein amtliches Inkrafttretensdatum)</w:t>
      </w:r>
    </w:p>
    <w:p>
      <w:r>
        <w:t xml:space="preserve">(1) Die zuständigen obersten Landesbehörden können im Benehmen mit dem Bundesministerium für Ernährung und Landwirtschaft das Verbringen und die Einfuhr von Impfstoffen und Antigenpräparationen, die Erreger der in § 2 Abs. 1 aufgeführten Tierseuchen oder serologisch mit diesen verwandte Tierseuchenerreger enthalten, für Zwecke der staatlichen Tierseuchenbekämpfung im Einzelfall genehmigen, sofern infolge der Entwicklung der Tierseuchenlage im Ausland oder des Auftretens einer in § 2 Abs. 1 genannten Tierseuche im Inland zum Schutz der einheimischen Nutztierbestände eine Bevorratung mit derartigen Impfstoffen und Antigenpräparationen oder eine Anwendung derartiger Impfstoffe oder Antigenpräparationen erforderlich ist. Dies gilt nicht, soweit Impfstoffe oder Antigenpräparationen mit ausreichender Wirksamkeit, die keine Tierseuchenerreger enthalten, zur Verfügung stehen. Die Genehmigung ist mit den erforderlichen Nebenbestimmungen zu versehen. In diesen sind insbesondere vorzusehen:</w:t>
      </w:r>
    </w:p>
    <w:p>
      <w:pPr>
        <w:ind w:left="420"/>
      </w:pPr>
      <w:r>
        <w:t xml:space="preserve">1. Anforderungen an Art und Eigenschaften des zur Herstellung des Impfstoffes oder der Antigenpräparation verwendeten Erregerstammes,</w:t>
      </w:r>
    </w:p>
    <w:p>
      <w:pPr>
        <w:ind w:left="420"/>
      </w:pPr>
      <w:r>
        <w:t xml:space="preserve">2. Sicherheits- und Überwachungsmaßnahmen für die Aufbewahrung und Lagerung des Impfstoffes oder der Antigenpräparation,</w:t>
      </w:r>
    </w:p>
    <w:p>
      <w:pPr>
        <w:ind w:left="420"/>
      </w:pPr>
      <w:r>
        <w:t xml:space="preserve">3. Verbot oder Beschränkung der Abgabe des Impfstoffes oder der Antigenpräparation,</w:t>
      </w:r>
    </w:p>
    <w:p>
      <w:pPr>
        <w:ind w:left="420"/>
      </w:pPr>
      <w:r>
        <w:t xml:space="preserve">4. Verbot oder Beschränkung der Anwendung, insbesondere hinsichtlich Art, Umfang, Ort und Zeit der Anwendung des Impfstoffes oder der Antigenpräparation.</w:t>
      </w:r>
    </w:p>
    <w:p>
      <w:r>
        <w:t xml:space="preserve">(2) Die Erteilung der Genehmigung kann abhängig gemacht werden von</w:t>
      </w:r>
    </w:p>
    <w:p>
      <w:pPr>
        <w:ind w:left="420"/>
      </w:pPr>
      <w:r>
        <w:t xml:space="preserve">1. dem Nachweis, daß der Hersteller nach den gesetzlichen Bestimmungen des Herstellerlandes berechtigt ist, Impfstoffe der betreffenden Art herzustellen,</w:t>
      </w:r>
    </w:p>
    <w:p>
      <w:pPr>
        <w:ind w:left="420"/>
      </w:pPr>
      <w:r>
        <w:t xml:space="preserve">2. der Vorlage ausreichender Unterlagen für die Beurteilung der baulichen und technischen Einrichtungen des Betriebs des Herstellers sowie des Arbeitsablaufs bei der Herstellung des Impfstoffes,</w:t>
      </w:r>
    </w:p>
    <w:p>
      <w:pPr>
        <w:ind w:left="420"/>
      </w:pPr>
      <w:r>
        <w:t xml:space="preserve">3. einer genauen, für die Beurteilung des Impfstoffes ausreichenden Beschreibung des Herstellungsverfahrens, der Zusammensetzung und der Art des Prüfungsverfahrens,</w:t>
      </w:r>
    </w:p>
    <w:p>
      <w:pPr>
        <w:ind w:left="420"/>
      </w:pPr>
      <w:r>
        <w:t xml:space="preserve">4. dem Nachweis der Reinheit, Verträglichkeit, Unschädlichkeit einschließlich Stammreinheit und des Freiseins von Fremderregern sowie der Wirksamkeit des Impfstoffes durch Vorlage der amtlichen oder amtlich beglaubigten Prüfungsniederschriften oder -zeugnisse und</w:t>
      </w:r>
    </w:p>
    <w:p>
      <w:pPr>
        <w:ind w:left="420"/>
      </w:pPr>
      <w:r>
        <w:t xml:space="preserve">5. dem Ergebnis einer vorherigen Prüfung des zur Herstellung des Impfstoffes verwendeten Erregerstammes und des Impfstoffes in einem von der Genehmigungsbehörde bestimmten Institut.</w:t>
      </w:r>
    </w:p>
    <w:p>
      <w:r>
        <w:rPr>
          <w:color w:val="555555"/>
          <w:sz w:val="17"/>
        </w:rPr>
        <w:t xml:space="preserve">Zitiervorschlag: § 5 TierSeuchErEinfV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https://recht.nulegal.eu/gesetze/TierSeuchErEinfV/5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