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TierSeuchErEinfV</w:t>
      </w:r>
    </w:p>
    <w:p>
      <w:r>
        <w:rPr>
          <w:color w:val="555555"/>
          <w:sz w:val="18"/>
        </w:rPr>
        <w:t xml:space="preserve">Tierseuchenerreger-Einfuhrverordnung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Verbringen und die Einfuhr von Impfstoffen und Antigenpräparationen, die Tierseuchenerreger enthalten, sind verboten.</w:t>
      </w:r>
    </w:p>
    <w:p>
      <w:r>
        <w:t xml:space="preserve">(2) Absatz 1 gilt nicht für Impfstoffe und Antigenpräparationen, die der zuständigen Bundesoberbehörde zum Zwecke der Zulassung oder der Chargenprüfung übersandt werden.</w:t>
      </w:r>
    </w:p>
    <w:p>
      <w:r>
        <w:rPr>
          <w:color w:val="555555"/>
          <w:sz w:val="17"/>
        </w:rPr>
        <w:t xml:space="preserve">Zitiervorschlag: § 4a TierSeuchErEinfV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https://recht.nulegal.eu/gesetze/TierSeuchErEinfV/4a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