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TierSeuchErEinfV</w:t>
      </w:r>
    </w:p>
    <w:p>
      <w:r>
        <w:rPr>
          <w:color w:val="555555"/>
          <w:sz w:val="18"/>
        </w:rPr>
        <w:t xml:space="preserve">Tierseuchenerreger-Einfuhrverordnung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zuständigen obersten Landesbehörden können wissenschaftlich geleiteten Einrichtungen und Betrieben für Forschungen oder zur Herstellung von Sera, Impfstoffen oder diagnostischen Mitteln das Verbringen und die Einfuhr der in Anlage 1 aufgeführten Tierseuchenerreger genehmigen, soweit hierfür ein Bedürfnis besteht und Belange der Seuchenbekämpfung nicht entgegenstehen. Die Genehmigung ist mit den erforderlichen Nebenbestimmungen zu versehen, insbesondere können folgende Auflagen angeordnet werden:</w:t>
      </w:r>
    </w:p>
    <w:p>
      <w:pPr>
        <w:ind w:left="420"/>
      </w:pPr>
      <w:r>
        <w:t xml:space="preserve">1. Beschränkung der Verwendung sowie Beschränkung oder Verbot der Abgabe,</w:t>
      </w:r>
    </w:p>
    <w:p>
      <w:pPr>
        <w:ind w:left="420"/>
      </w:pPr>
      <w:r>
        <w:t xml:space="preserve">2. die in § 2 Abs. 2 Satz 3 Nr. 2 bis 4 genannten Auflagen.</w:t>
      </w:r>
    </w:p>
    <w:p>
      <w:r>
        <w:rPr>
          <w:color w:val="555555"/>
          <w:sz w:val="17"/>
        </w:rPr>
        <w:t xml:space="preserve">Zitiervorschlag: § 3 TierSeuchErEinfV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https://recht.nulegal.eu/gesetze/TierSeuchErEinfV/3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