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TierSeuchErEinfV</w:t>
      </w:r>
    </w:p>
    <w:p>
      <w:r>
        <w:rPr>
          <w:color w:val="555555"/>
          <w:sz w:val="18"/>
        </w:rPr>
        <w:t xml:space="preserve">Tierseuchenerreger-Einfuhrverordnung</w:t>
      </w:r>
    </w:p>
    <w:p>
      <w:r>
        <w:rPr>
          <w:color w:val="555555"/>
          <w:sz w:val="18"/>
        </w:rPr>
        <w:t xml:space="preserve">Stand: 10.06.2019 (konsolidierte Textfassung, kein amtliches Inkrafttretensdatum)</w:t>
      </w:r>
    </w:p>
    <w:p>
      <w:r>
        <w:t xml:space="preserve">(1) Die zuständigen obersten Landesbehörden können im Benehmen mit dem Bundesministerium für Ernährung und Landwirtschaft das Verbringen und die Einfuhr von Erregern der Afrikanischen Pferdepest, der Amerikanischen Pferdeencephalitis (Typ Ost, Typ West und Typ Venezuela), der Japanischen B-Encephalitis, der Rinderpest, der Lungenseuche der Rinder, der Afrikanischen Schweinepest, der Blauzungenkrankheit der Schafe und Rinder, der Springkrankheit der Schafe sowie der für Europa fremdartigen Typen der Maul- und Klauenseuche genehmigen, soweit dies infolge der Entwicklung der Tierseuchenlage im Ausland oder infolge eines Auftretens einer dieser Tierseuchen im Inland zum Schutz der einheimischen Nutztierbestände für vorbereitende Untersuchungen oder für die Herstellung von Sera, Impfstoffen oder diagnostischen Mitteln erforderlich ist.</w:t>
      </w:r>
    </w:p>
    <w:p>
      <w:r>
        <w:t xml:space="preserve">(2) Die Genehmigung darf außer dem Friedrich-Loeffler-Institut, Bundesforschungsinstitut für Tiergesundheit, und dem Paul-Ehrlich-Institut nur wissenschaftlich geleiteten Einrichtungen erteilt werden, die von der zuständigen obersten Landesbehörde beauftragt sind, Forschungen oder bestimmte Untersuchungen durchzuführen. Soweit es zur Vorbereitung der Herstellung oder zur Herstellung von Sera, Impfstoffen oder diagnostischen Mitteln erforderlich ist, kann die Genehmigung auch einem oder ausnahmsweise mehreren wissenschaftlich geleiteten Betrieben erteilt werden. Die Genehmigung ist mit den erforderlichen Nebenbestimmungen zu versehen. In diesen sind insbesondere vorzusehen:</w:t>
      </w:r>
    </w:p>
    <w:p>
      <w:pPr>
        <w:ind w:left="420"/>
      </w:pPr>
      <w:r>
        <w:t xml:space="preserve">1. Beschränkung der Verwendung für bestimmte Arbeiten und Versuche sowie Verbot oder Beschränkung des Vorrätighaltens und der Abgabe,</w:t>
      </w:r>
    </w:p>
    <w:p>
      <w:pPr>
        <w:ind w:left="420"/>
      </w:pPr>
      <w:r>
        <w:t xml:space="preserve">2. Verbot oder Beschränkung von Tierversuchen,</w:t>
      </w:r>
    </w:p>
    <w:p>
      <w:pPr>
        <w:ind w:left="420"/>
      </w:pPr>
      <w:r>
        <w:t xml:space="preserve">3. besondere Schutz- und Sicherheitsmaßnahmen zur Verhütung einer Verschleppung der eingeführten Tierseuchenerreger, einschließlich der Verschleppung durch Versuchstiere und</w:t>
      </w:r>
    </w:p>
    <w:p>
      <w:pPr>
        <w:ind w:left="420"/>
      </w:pPr>
      <w:r>
        <w:t xml:space="preserve">4. Desinfektion oder unschädliche Beseitigung des Verpackungsmaterials sowie aller Gegenstände, die Träger des Ansteckungsstoffes sind oder sein können.</w:t>
      </w:r>
    </w:p>
    <w:p>
      <w:r>
        <w:rPr>
          <w:color w:val="555555"/>
          <w:sz w:val="17"/>
        </w:rPr>
        <w:t xml:space="preserve">Zitiervorschlag: § 2 TierSeuchErEinfV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https://recht.nulegal.eu/gesetze/TierSeuchErEinfV/2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