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TierSeuchErEinfV</w:t>
      </w:r>
    </w:p>
    <w:p>
      <w:r>
        <w:rPr>
          <w:color w:val="555555"/>
          <w:sz w:val="18"/>
        </w:rPr>
        <w:t xml:space="preserve">Tierseuchenerreger-Einfuhrverordnung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innergemeinschaftliche Verbringen aus anderen Mitgliedstaaten (Verbringen) und die Einfuhr von Tierseuchenerregern sind verboten.</w:t>
      </w:r>
    </w:p>
    <w:p>
      <w:r>
        <w:rPr>
          <w:color w:val="555555"/>
          <w:sz w:val="17"/>
        </w:rPr>
        <w:t xml:space="preserve">Zitiervorschlag: § 1a TierSeuchErEinfV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https://recht.nulegal.eu/gesetze/TierSeuchErEinfV/1a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