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TierSchlV 2013 — Aufheben von Vorschriften</w:t>
      </w:r>
    </w:p>
    <w:p>
      <w:r>
        <w:rPr>
          <w:color w:val="555555"/>
          <w:sz w:val="18"/>
        </w:rPr>
        <w:t xml:space="preserve">Tierschutz-Schlachtverordnung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Tierschutz-Schlachtverordnung vom 3. März 1997 (BGBl. I S. 405), die zuletzt durch Artikel 19 des Gesetzes vom 13. April 2006 (BGBl. I S. 855) geändert worden ist, wird aufgehoben.</w:t>
      </w:r>
    </w:p>
    <w:p>
      <w:r>
        <w:rPr>
          <w:color w:val="555555"/>
          <w:sz w:val="17"/>
        </w:rPr>
        <w:t xml:space="preserve">Zitiervorschlag: § 18 TierSchlV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https://recht.nulegal.eu/gesetze/TierSchlV%202013/18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