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TierSchlV 2013 — Entsprechende Anwendung von EU-Vorschriften</w:t>
      </w:r>
    </w:p>
    <w:p>
      <w:r>
        <w:rPr>
          <w:color w:val="555555"/>
          <w:sz w:val="18"/>
        </w:rPr>
        <w:t xml:space="preserve">Tierschutz-Schlachtverordnung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das Töten von Tieren weder durch innerstaatliches Recht noch durch einen unmittelbar geltenden Rechtsakt der Europäischen Gemeinschaft oder der Europäischen Union geregelt ist, gelten die Artikel 3 Absatz 1 und Artikel 4 Absatz 1 Satz 1 in Verbindung mit Anhang I der Verordnung (EG) Nr. 1099/2009 entsprechend. Soweit nach Anlage 1 etwas anderes bestimmt oder zugelassen ist, gelten abweichend von Satz 1 die Regelungen der Anlage 1.</w:t>
      </w:r>
    </w:p>
    <w:p>
      <w:r>
        <w:t xml:space="preserve">(2) Für die Hausschlachtung gelten folgende Regelungen der Verordnung (EG) Nr. 1099/2009 entsprechend:</w:t>
      </w:r>
    </w:p>
    <w:p>
      <w:pPr>
        <w:ind w:left="420"/>
      </w:pPr>
      <w:r>
        <w:t xml:space="preserve">1. Artikel 9 Absatz 2 für die Anforderungen an den Einsatz von Betäubungsgeräten,</w:t>
      </w:r>
    </w:p>
    <w:p>
      <w:pPr>
        <w:ind w:left="420"/>
      </w:pPr>
      <w:r>
        <w:t xml:space="preserve">2. Artikel 9 Absatz 3 für das Ruhigstellen von Schlachttieren,</w:t>
      </w:r>
    </w:p>
    <w:p>
      <w:pPr>
        <w:ind w:left="420"/>
      </w:pPr>
      <w:r>
        <w:t xml:space="preserve">3. Artikel 15 Absatz 3 sowie</w:t>
      </w:r>
    </w:p>
    <w:p>
      <w:pPr>
        <w:ind w:left="420"/>
      </w:pPr>
      <w:r>
        <w:t xml:space="preserve">4. Anhang III Nummer 1.8., 1.9., 1.10. und 3.2.</w:t>
      </w:r>
    </w:p>
    <w:p>
      <w:r>
        <w:t xml:space="preserve">(3) Für das Schlachten von Geflügel oder Hasentieren im Rahmen einer beruflichen Tätigkeit zur direkten Abgabe kleiner Mengen von Fleisch an</w:t>
      </w:r>
    </w:p>
    <w:p>
      <w:pPr>
        <w:ind w:left="420"/>
      </w:pPr>
      <w:r>
        <w:t xml:space="preserve">1. Endverbraucher oder</w:t>
      </w:r>
    </w:p>
    <w:p>
      <w:pPr>
        <w:ind w:left="420"/>
      </w:pPr>
      <w:r>
        <w:t xml:space="preserve">2. örtliche Betriebe des Einzelhandels zur unmittelbaren Abgabe an Endverbraucher</w:t>
      </w:r>
    </w:p>
    <w:p>
      <w:r>
        <w:t xml:space="preserve">gilt Absatz 2 entsprechend.</w:t>
      </w:r>
    </w:p>
    <w:p>
      <w:r>
        <w:rPr>
          <w:color w:val="555555"/>
          <w:sz w:val="17"/>
        </w:rPr>
        <w:t xml:space="preserve">Zitiervorschlag: § 15 TierSchlV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https://recht.nulegal.eu/gesetze/TierSchlV%202013/15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