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4a TierSchZV (Brandenburg)</w:t>
      </w:r>
    </w:p>
    <w:p>
      <w:r>
        <w:rPr>
          <w:color w:val="555555"/>
          <w:sz w:val="18"/>
        </w:rPr>
        <w:t xml:space="preserve">Tierschutzzuständigkeitsverordnung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Ermächtigung der Landesregierung zum Erlass von Rechtsverordnungen nach § 6 Absatz 2 des Landesorganisationsgesetzes wird für den Bereich des Tierschutzes auf das dafür zuständige Mitglied der Landesregierung übertragen.</w:t>
      </w:r>
    </w:p>
    <w:p>
      <w:r>
        <w:t xml:space="preserve">§ 4b</w:t>
      </w:r>
    </w:p>
    <w:p>
      <w:r>
        <w:t xml:space="preserve">Die Ermächtigung der Landesregierung nach § 13b Satz 1 bis 4 des Tierschutzgesetzes wird auf die Landkreise und kreisfreien Städte übertragen.</w:t>
      </w:r>
    </w:p>
    <w:p>
      <w:r>
        <w:t xml:space="preserve">§ 5</w:t>
      </w:r>
    </w:p>
    <w:p>
      <w:r>
        <w:t xml:space="preserve">(In-Kraft-Treten)</w:t>
      </w:r>
    </w:p>
    <w:p>
      <w:r>
        <w:rPr>
          <w:color w:val="555555"/>
          <w:sz w:val="17"/>
        </w:rPr>
        <w:t xml:space="preserve">Zitiervorschlag: § 4a TierSchZV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https://recht.nulegal.eu/gesetze/TierSchZV/4a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