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TierSchZV (Brandenburg)</w:t>
      </w:r>
    </w:p>
    <w:p>
      <w:r>
        <w:rPr>
          <w:color w:val="555555"/>
          <w:sz w:val="18"/>
        </w:rPr>
        <w:t xml:space="preserve">Tierschutzzuständigkeitsverordnung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 für die Verfolgung und Ahndung von Ordnungswidrigkeiten nach § 18 des Tierschutzgesetzes und § 7 des Tiererzeugnisse-Handels-Verbotsgesetzes sind:</w:t>
      </w:r>
    </w:p>
    <w:p>
      <w:r>
        <w:t xml:space="preserve">das Landesamt für Arbeitsschutz, Verbraucherschutz und Gesundheit im Rahmen seiner Zuständigkeit nach § 2,</w:t>
      </w:r>
    </w:p>
    <w:p>
      <w:r>
        <w:t xml:space="preserve">die Kreisordnungsbehörden im Sinne des § 1 für alle übrigen Ordnungswidrigkeiten.</w:t>
      </w:r>
    </w:p>
    <w:p>
      <w:r>
        <w:rPr>
          <w:color w:val="555555"/>
          <w:sz w:val="17"/>
        </w:rPr>
        <w:t xml:space="preserve">Zitiervorschlag: § 4 TierSchZV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