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TierSchVersV — Besondere Aufzeichnungen bei Hunden, Katzen und Primaten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Unbeschadet des § 7 hat der zum Führen von Aufzeichnungen nach § 11a Absatz 1 Satz 1 Nummer 1 des Tierschutzgesetzes Verpflichtete bei Hunden, Katzen und Primaten jeweils gesonderte Aufzeichnungen nach Maßgabe des Satzes 2 und des Absatzes 2 Nummer 1 zu führen. Die Aufzeichnungen umfassen bezogen auf das jeweilige Tier alle wesentlichen fortpflanzungsbezogenen, tiermedizinischen und das Verhalten des Tieres betreffenden Informationen sowie Angaben zu den Versuchsvorhaben, in denen es verwendet worden ist.</w:t>
      </w:r>
    </w:p>
    <w:p>
      <w:r>
        <w:t xml:space="preserve">(2) Der zum Führen der Aufzeichnungen nach Absatz 1 Verpflichtete hat</w:t>
      </w:r>
    </w:p>
    <w:p>
      <w:pPr>
        <w:ind w:left="420"/>
      </w:pPr>
      <w:r>
        <w:t xml:space="preserve">1. mit dem Führen der Aufzeichnungen unverzüglich nach der Geburt des Tieres zu beginnen,</w:t>
      </w:r>
    </w:p>
    <w:p>
      <w:pPr>
        <w:ind w:left="420"/>
      </w:pPr>
      <w:r>
        <w:t xml:space="preserve">2. im Falle der Abgabe des Tieres an einen Dritten in anderen als den in § 10 genannten Fällen dem Dritten die jeweiligen Aufzeichnungen vollständig und unverzüglich zu übergeben,</w:t>
      </w:r>
    </w:p>
    <w:p>
      <w:pPr>
        <w:ind w:left="420"/>
      </w:pPr>
      <w:r>
        <w:t xml:space="preserve">3. im Falle einer Unterbringung des Tieres nach § 10 dem neuen Halter die in den Aufzeichnungen enthaltenen und für die Unterbringung und tiermedizinische Versorgung wesentlichen tiermedizinischen und das Verhalten des Tieres betreffenden Informationen nach Absatz 1 Satz 2 zur Verfügung zu stellen und</w:t>
      </w:r>
    </w:p>
    <w:p>
      <w:pPr>
        <w:ind w:left="420"/>
      </w:pPr>
      <w:r>
        <w:t xml:space="preserve">4. die Aufzeichnungen, soweit sie nicht nach Nummer 2 weitergegeben wurden, nach der Unterbringung oder dem Verbringen des Tieres nach § 10 oder andernfalls nach dem Tod des Tieres drei Jahre lang aufzubewahren und der zuständigen Behörde auf Verlangen vorzulegen.</w:t>
      </w:r>
    </w:p>
    <w:p>
      <w:r>
        <w:rPr>
          <w:color w:val="555555"/>
          <w:sz w:val="17"/>
        </w:rPr>
        <w:t xml:space="preserve">Zitiervorschlag: § 8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