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TierSchVersV — Führen von Aufzeichnungen</w:t>
      </w:r>
    </w:p>
    <w:p>
      <w:r>
        <w:rPr>
          <w:color w:val="555555"/>
          <w:sz w:val="18"/>
        </w:rPr>
        <w:t xml:space="preserve">Tierschutz-Versuchstierverordnung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zum Führen von Aufzeichnungen nach § 11a Absatz 1 Satz 1 Nummer 1 des Tierschutzgesetzes verpflichtet ist, hat in den Betriebs- oder Geschäftsräumen ein Kontrollbuch nach Maßgabe der Sätze 2 und 3 zu führen. In das Kontrollbuch nach Satz 1 ist jede Bestandsveränderung mit folgenden Angaben dauerhaft einzutragen:</w:t>
      </w:r>
    </w:p>
    <w:p>
      <w:pPr>
        <w:ind w:left="420"/>
      </w:pPr>
      <w:r>
        <w:t xml:space="preserve">1. Anzahl und Art der gezüchteten, erworbenen, an Dritte abgegebenen, in Tierversuchen verwendeten und nach § 10 untergebrachten oder verbrachten Tiere,</w:t>
      </w:r>
    </w:p>
    <w:p>
      <w:pPr>
        <w:ind w:left="420"/>
      </w:pPr>
      <w:r>
        <w:t xml:space="preserve">2. Herkunft der Tiere, einschließlich der Angabe, ob sie zur Verwendung in Tierversuchen gezüchtet worden sind,</w:t>
      </w:r>
    </w:p>
    <w:p>
      <w:pPr>
        <w:ind w:left="420"/>
      </w:pPr>
      <w:r>
        <w:t xml:space="preserve">3. Zeitpunkt, zu dem die Tiere erworben, geliefert oder nach § 10 untergebracht oder verbracht worden sind,</w:t>
      </w:r>
    </w:p>
    <w:p>
      <w:pPr>
        <w:ind w:left="420"/>
      </w:pPr>
      <w:r>
        <w:t xml:space="preserve">4. Name und Anschrift der Person, von der die Tiere erworben wurden,</w:t>
      </w:r>
    </w:p>
    <w:p>
      <w:pPr>
        <w:ind w:left="420"/>
      </w:pPr>
      <w:r>
        <w:t xml:space="preserve">5. Name und Anschrift des Empfängers der Tiere,</w:t>
      </w:r>
    </w:p>
    <w:p>
      <w:pPr>
        <w:ind w:left="420"/>
      </w:pPr>
      <w:r>
        <w:t xml:space="preserve">6. Anzahl und Art der in einer Einrichtung oder einem Betrieb getöteten oder aus anderen Gründen gestorbenen Tiere sowie im letzteren Falle die Todesursache, soweit bekannt,</w:t>
      </w:r>
    </w:p>
    <w:p>
      <w:pPr>
        <w:ind w:left="420"/>
      </w:pPr>
      <w:r>
        <w:t xml:space="preserve">7. Auffälligkeiten in Bezug auf den Gesundheitszustand der Tiere.</w:t>
      </w:r>
    </w:p>
    <w:p>
      <w:r>
        <w:t xml:space="preserve">Hunde, Katzen und Primaten sind einzeln mit folgenden zusätzlichen Angaben aufzuführen:</w:t>
      </w:r>
    </w:p>
    <w:p>
      <w:pPr>
        <w:ind w:left="420"/>
      </w:pPr>
      <w:r>
        <w:t xml:space="preserve">1. Identität des Tieres,</w:t>
      </w:r>
    </w:p>
    <w:p>
      <w:pPr>
        <w:ind w:left="420"/>
      </w:pPr>
      <w:r>
        <w:t xml:space="preserve">2. Geburtsort und -datum, soweit bekannt,</w:t>
      </w:r>
    </w:p>
    <w:p>
      <w:pPr>
        <w:ind w:left="420"/>
      </w:pPr>
      <w:r>
        <w:t xml:space="preserve">3. bei Primaten, ob es sich um einen Nachkommen von in Gefangenschaft gezüchteten Primaten handelt.</w:t>
      </w:r>
    </w:p>
    <w:p>
      <w:r>
        <w:t xml:space="preserve">Die §§ 239 und 261 des Handelsgesetzbuchs gelten sinngemäß.</w:t>
      </w:r>
    </w:p>
    <w:p>
      <w:r>
        <w:t xml:space="preserve">(2) Die in Absatz 1 genannten Aufzeichnungen sind, gerechnet ab dem Beginn des Jahres, das auf die Entstehung der Aufzeichnung folgt, mindestens fünf Jahre lang aufzubewahren und der zuständigen Behörde auf Verlangen vorzulegen.</w:t>
      </w:r>
    </w:p>
    <w:p>
      <w:r>
        <w:rPr>
          <w:color w:val="555555"/>
          <w:sz w:val="17"/>
        </w:rPr>
        <w:t xml:space="preserve">Zitiervorschlag: § 7 TierSchVersV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https://recht.nulegal.eu/gesetze/TierSchVersV/7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