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TierSchVersV — Aufbewahrungspflicht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Der Inhaber einer Genehmigung oder, im Falle von Versuchsvorhaben nach § 8a Absatz 3 des Tierschutzgesetzes, der Anzeigende hat</w:t>
      </w:r>
    </w:p>
    <w:p>
      <w:pPr>
        <w:ind w:left="420"/>
      </w:pPr>
      <w:r>
        <w:t xml:space="preserve">1. eine Kopie des Antrags nach § 31 und den Genehmigungsbescheid nach § 33 oder, im Fall von Versuchsvorhaben nach § 8a Absatz 1 Satz 1 des Tierschutzgesetzes, eine Kopie des Antrags nach § 36 Absatz 1 und des Genehmigungsbescheids nach § 33 in Verbindung mit § 36 Absatz 6 oder im Fall von Versuchsvorhaben nach § 8a Absatz 3 des Tierschutzgesetzes, eine Kopie der Anzeige nach § 39 Absatz 1 Satz 1 sowie</w:t>
      </w:r>
    </w:p>
    <w:p>
      <w:pPr>
        <w:ind w:left="420"/>
      </w:pPr>
      <w:r>
        <w:t xml:space="preserve">2. alle sonstigen Dokumente, die ihm im Zusammenhang mit der Genehmigung oder Anzeige und der Durchführung des Versuchsvorhabens von der zuständigen Behörde übermittelt worden sind,</w:t>
      </w:r>
    </w:p>
    <w:p>
      <w:r>
        <w:t xml:space="preserve">mindestens drei Jahre über das Ende der Geltungsdauer der Genehmigung oder, bei Versuchsvorhaben nach § 8a Absatz 3 des Tierschutzgesetzes, über den Ablauf der in § 39 Absatz 2b genannten Frist hinaus aufzubewahren. Abweichend von Satz 1 darf im Fall der elektronischen Übermittlung der dort genannten Dokumente die Aufbewahrung dieser Dokumente durch Speicherung auf einem dauerhaften Datenträger erfolgen. Im Falle von Versuchsvorhaben, die einer Bewertung nach § 35 unterzogen werden sollen, sind die in Satz 1 genannten Dokumente bis zum Abschluss der Bewertung aufzubewahren, soweit der Abschluss der Bewertung erst nach Ablauf der in Satz 1 genannten Frist erfolgt.</w:t>
      </w:r>
    </w:p>
    <w:p>
      <w:r>
        <w:rPr>
          <w:color w:val="555555"/>
          <w:sz w:val="17"/>
        </w:rPr>
        <w:t xml:space="preserve">Zitiervorschlag: § 40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