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TierSchVersV — Genehmigung und Anzeige von Änderungen genehmigter Versuchsvorhaben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Änderungen genehmigter Versuchsvorhaben, die sich nachteilig auf das Wohlergehen der Tiere auswirken können, bedürfen einer Genehmigung. Eine Änderung im Sinne des Satzes 1 liegt insbesondere vor, wenn</w:t>
      </w:r>
    </w:p>
    <w:p>
      <w:pPr>
        <w:ind w:left="420"/>
      </w:pPr>
      <w:r>
        <w:t xml:space="preserve">1. der Zweck des Versuchsvorhabens nicht beibehalten wird,</w:t>
      </w:r>
    </w:p>
    <w:p>
      <w:pPr>
        <w:ind w:left="420"/>
      </w:pPr>
      <w:r>
        <w:t xml:space="preserve">2. sich das Maß der bei den verwendeten Tieren verursachten Schmerzen, Leiden und Schäden durch die Änderung erhöhen kann oder</w:t>
      </w:r>
    </w:p>
    <w:p>
      <w:pPr>
        <w:ind w:left="420"/>
      </w:pPr>
      <w:r>
        <w:t xml:space="preserve">3. die Zahl der verwendeten Tiere wesentlich erhöht wird.</w:t>
      </w:r>
    </w:p>
    <w:p>
      <w:r>
        <w:t xml:space="preserve">(2) Wechselt der Leiter des Versuchsvorhabens oder sein Stellvertreter, so hat der Genehmigungsinhaber diese Änderung der zuständigen Behörde unverzüglich anzuzeigen. Die Genehmigung ist innerhalb eines Monats ab Eingang der Änderungsanzeige von der zuständigen Behörde zu widerrufen, wenn der Leiter des Versuchsvorhabens oder sein Stellvertreter die Anforderungen des § 8 Absatz 1 Satz 2 Nummer 2 des Tierschutzgesetzes nicht erfüllen.</w:t>
      </w:r>
    </w:p>
    <w:p>
      <w:r>
        <w:t xml:space="preserve">(3) Andere als die in Absatz 1 Satz 1 genannten Änderungen bedürfen einer Anzeige bei der zuständigen Behörde. Die Änderungen dürfen frühestens zwei Wochen nach Eingang der Anzeige nach Satz 1 vorgenommen werden, es sei denn, die zuständige Behörde hat vorher mitgeteilt, dass gegen die Änderungen keine Einwände bestehen.</w:t>
      </w:r>
    </w:p>
    <w:p>
      <w:r>
        <w:rPr>
          <w:color w:val="555555"/>
          <w:sz w:val="17"/>
        </w:rPr>
        <w:t xml:space="preserve">Zitiervorschlag: § 34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