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TierSchVersV — Führen von Aufzeichnungen zu Tierversuchen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In den nach § 9 Absatz 5 Satz 1 des Tierschutzgesetzes zu führenden Aufzeichnungen sind für jedes Versuchsvorhaben, in dem Wirbeltiere, Kopffüßer oder Zehnfußkrebse verwendet werden, der Zweck sowie die Zahl und die Art der verwendeten Tiere und die Art und Durchführung der Tierversuche sowie die Namen der Personen, die die Tierversuche durchgeführt haben, anzugeben. Werden Wirbeltiere verwendet, so ist auch ihre Herkunft einschließlich des Namens und der Anschrift des Vorbesitzers anzugeben. Bei Hunden, Katzen und Primaten sind zusätzlich das Geschlecht, eine an dem Tier vorgenommene Kennzeichnung nach § 9 und bei Hunden und Katzen die Rasse anzugeben.</w:t>
      </w:r>
    </w:p>
    <w:p>
      <w:r>
        <w:t xml:space="preserve">(2) Die Aufzeichnungen nach Absatz 1 sind von den Personen, die die Tierversuche durchgeführt haben, und von dem Leiter des Versuchsvorhabens oder seinem Stellvertreter zu unterzeichnen. Werden die Aufzeichnungen elektronisch erstellt, sind sie unverzüglich nach Abschluss jedes Teilversuches des Versuchsvorhabens</w:t>
      </w:r>
    </w:p>
    <w:p>
      <w:pPr>
        <w:ind w:left="420"/>
      </w:pPr>
      <w:r>
        <w:t xml:space="preserve">1. auszudrucken und von dem Leiter des Versuchsvorhabens oder seinem Stellvertreter zu unterzeichnen oder</w:t>
      </w:r>
    </w:p>
    <w:p>
      <w:pPr>
        <w:ind w:left="420"/>
      </w:pPr>
      <w:r>
        <w:t xml:space="preserve">2. von dem Leiter des Versuchsvorhabens oder seinem Stellvertreter mit einem Zeitstempel unter Verwendung einer fortgeschrittenen elektronischen Signatur zu versehen, auf einem dauerhaften Datenträger zu speichern und auf Verlangen der zuständigen Behörde auszudrucken.</w:t>
      </w:r>
    </w:p>
    <w:p>
      <w:r>
        <w:t xml:space="preserve">Die §§ 239 und 261 des Handelsgesetzbuchs gelten sinngemäß. Aufzeichnungen zu einem Versuchsvorhaben sind fünf Jahre lang, beginnend mit dem Abschluss des Tierversuchs, aufzubewahren und der zuständigen Behörde auf Verlangen vorzulegen. Vorbehaltlich anderer gesetzlicher Regelungen sind in diesen Aufzeichnungen enthaltene personenbezogene Daten nach Ablauf der Aufbewahrungsfrist nach Satz 4 unverzüglich, bei elektronischer Speicherung, sofern technisch möglich, automatisiert zu löschen.</w:t>
      </w:r>
    </w:p>
    <w:p>
      <w:r>
        <w:rPr>
          <w:color w:val="555555"/>
          <w:sz w:val="17"/>
        </w:rPr>
        <w:t xml:space="preserve">Zitiervorschlag: § 29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