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26 TierSchVersV — Genehmigungen in besonderen Fällen</w:t>
      </w:r>
    </w:p>
    <w:p>
      <w:r>
        <w:rPr>
          <w:color w:val="555555"/>
          <w:sz w:val="18"/>
        </w:rPr>
        <w:t xml:space="preserve">Tierschutz-Versuchstierverordnung</w:t>
      </w:r>
    </w:p>
    <w:p>
      <w:r>
        <w:rPr>
          <w:color w:val="555555"/>
          <w:sz w:val="18"/>
        </w:rPr>
        <w:t xml:space="preserve">Stand: 01.01.2026 (konsolidierte Textfassung, kein amtliches Inkrafttretensdatum)</w:t>
      </w:r>
    </w:p>
    <w:p>
      <w:r>
        <w:t xml:space="preserve">(1) Eine Genehmigung nach § 23 Absatz 3 oder 5 oder § 25 Absatz 2 Satz 2 wird von der zuständigen Behörde unter dem Vorbehalt erteilt, dass die Genehmigung im Falle einer Entscheidung der Europäischen Kommission nach Artikel 55 Absatz 4 Unterabsatz 2 Buchstabe b der Richtlinie 2010/63/EU widerrufen wird.</w:t>
      </w:r>
    </w:p>
    <w:p>
      <w:r>
        <w:t xml:space="preserve">(2) Erteilt die zuständige Behörde eine Genehmigung nach Absatz 1, so hat sie dies dem Bundesministerium für Landwirtschaft, Ernährung und Heimat (Bundesministerium) unverzüglich mitzuteilen. Die Mitteilung nach Satz 1 enthält eine ausführliche Begründung für die Entscheidung der zuständigen Behörde im Hinblick auf das Vorliegen der jeweiligen Genehmigungsvoraussetzungen. Das Bundesministerium unterrichtet nach Eingang der Mitteilung nach Satz 1 die Europäische Kommission nach Artikel 55 Absatz 4 Unterabsatz 1 der Richtlinie 2010/63/EU auf der Grundlage der Mitteilung der zuständigen Behörde nach Satz 2.</w:t>
      </w:r>
    </w:p>
    <w:p>
      <w:r>
        <w:rPr>
          <w:color w:val="555555"/>
          <w:sz w:val="17"/>
        </w:rPr>
        <w:t xml:space="preserve">Zitiervorschlag: § 26 TierSchVersV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https://recht.nulegal.eu/gesetze/TierSchVersV/26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