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TierSchVersV — Anforderungen an die Tötung von Wirbeltieren und Kopffüßern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In § 1 Absatz 1 bezeichnete Wirbeltiere und Kopffüßer dürfen nur</w:t>
      </w:r>
    </w:p>
    <w:p>
      <w:pPr>
        <w:ind w:left="420"/>
      </w:pPr>
      <w:r>
        <w:t xml:space="preserve">1. in den Räumlichkeiten einer Einrichtung oder eines Betriebs im Sinne des § 1 Absatz 1,</w:t>
      </w:r>
    </w:p>
    <w:p>
      <w:pPr>
        <w:ind w:left="420"/>
      </w:pPr>
      <w:r>
        <w:t xml:space="preserve">2. von einer Person, die die Anforderungen nach Anlage 1 Abschnitt 2 erfüllt, und</w:t>
      </w:r>
    </w:p>
    <w:p>
      <w:pPr>
        <w:ind w:left="420"/>
      </w:pPr>
      <w:r>
        <w:t xml:space="preserve">3. unter Betäubung oder sonst nur unter größtmöglicher Vermeidung von Schmerzen und Leiden</w:t>
      </w:r>
    </w:p>
    <w:p>
      <w:r>
        <w:t xml:space="preserve">getötet werden. Räumlichkeiten im Sinne des Satzes 1 Nummer 1 sind auch bewegliche oder lediglich teilweise umschlossene oder überdachte Örtlichkeiten. Satz 1 Nummer 1 gilt nicht, wenn ein Tier im Rahmen eines Tierversuchs getötet wird, der nach § 15 Absatz 1 Satz 3 außerhalb einer Einrichtung oder eines Betriebs durchgeführt wird. Satz 1 Nummer 2 gilt nicht, wenn ein Tier im Rahmen eines Tierversuchs getötet wird, der Ausbildungs-, Fortbildungs- oder Weiterbildungszwecken dient, soweit das Töten in Anwesenheit und unter Aufsicht einer Person erfolgt, die die nach Satz 1 Nummer 2 erforderlichen Anforderungen erfüllt.</w:t>
      </w:r>
    </w:p>
    <w:p>
      <w:r>
        <w:t xml:space="preserve">(2) In § 1 Absatz 1 bezeichnete Wirbeltiere und Kopffüßer dürfen darüber hinaus nur nach Maßgabe der Anlage 2 getötet werden, wobei das Verfahren anzuwenden ist, das</w:t>
      </w:r>
    </w:p>
    <w:p>
      <w:pPr>
        <w:ind w:left="420"/>
      </w:pPr>
      <w:r>
        <w:t xml:space="preserve">1. für das Tier die geringste Belastung bedeutet und</w:t>
      </w:r>
    </w:p>
    <w:p>
      <w:pPr>
        <w:ind w:left="420"/>
      </w:pPr>
      <w:r>
        <w:t xml:space="preserve">2. mit dem Versuchszweck vereinbar ist.</w:t>
      </w:r>
    </w:p>
    <w:p>
      <w:r>
        <w:t xml:space="preserve">Satz 1 gilt nicht für das Töten von Tieren,</w:t>
      </w:r>
    </w:p>
    <w:p>
      <w:pPr>
        <w:ind w:left="420"/>
      </w:pPr>
      <w:r>
        <w:t xml:space="preserve">1. die empfindungs- und wahrnehmungslos sind, sofern sie vor dem Tod ihre Wahrnehmungs- und Empfindungsfähigkeit nicht wiedererlangen und bis zur sicheren Feststellung des Todes des Tieres eine Kontrolle der Wahrnehmungs- und Empfindungslosigkeit erfolgt, oder</w:t>
      </w:r>
    </w:p>
    <w:p>
      <w:pPr>
        <w:ind w:left="420"/>
      </w:pPr>
      <w:r>
        <w:t xml:space="preserve">2. die in der landwirtschaftlichen Forschung verwendet werden, wenn der Zweck des Versuchsvorhabens es erforderlich macht, dass die Tiere unter vergleichbaren Bedingungen wie in der Nutztierhaltung zu Erwerbszwecken gehalten werden und sie im Einklang mit den Anforderungen des Anhangs I der Verordnung (EG) Nr. 1099/2009 des Rates vom 24. September 2009 über den Schutz von Tieren zum Zeitpunkt der Tötung (ABl. L 303 vom 18.11.2009, S. 1) in der jeweils geltenden Fassung getötet werden.</w:t>
      </w:r>
    </w:p>
    <w:p>
      <w:r>
        <w:t xml:space="preserve">(3) Die zuständige Behörde kann die Anwendung eines den Anforderungen des Absatzes 2 Satz 1 nicht entsprechenden Tötungsverfahrens genehmigen, wenn</w:t>
      </w:r>
    </w:p>
    <w:p>
      <w:pPr>
        <w:ind w:left="420"/>
      </w:pPr>
      <w:r>
        <w:t xml:space="preserve">1. dieses Verfahren wissenschaftlichen Erkenntnissen zufolge nicht mit stärkeren Schmerzen und Leiden verbunden ist als ein den Anforderungen entsprechendes Verfahren oder</w:t>
      </w:r>
    </w:p>
    <w:p>
      <w:pPr>
        <w:ind w:left="420"/>
      </w:pPr>
      <w:r>
        <w:t xml:space="preserve">2. im Falle der Tötung eines Tieres im Rahmen seiner Verwendung in einem Tierversuch wissenschaftlich begründet dargelegt ist, dass die Anwendung dieses Verfahrens im Hinblick auf den Zweck des Tierversuchs unerlässlich und ethisch vertretbar ist.</w:t>
      </w:r>
    </w:p>
    <w:p>
      <w:r>
        <w:rPr>
          <w:color w:val="555555"/>
          <w:sz w:val="17"/>
        </w:rPr>
        <w:t xml:space="preserve">Zitiervorschlag: § 2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