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TierSchVersV — Erlaubnisbescheid, Anzeige und Erlaubnis von Änderungen</w:t>
      </w:r>
    </w:p>
    <w:p>
      <w:r>
        <w:rPr>
          <w:color w:val="555555"/>
          <w:sz w:val="18"/>
        </w:rPr>
        <w:t xml:space="preserve">Tierschutz-Versuchstierverordnung</w:t>
      </w:r>
    </w:p>
    <w:p>
      <w:r>
        <w:rPr>
          <w:color w:val="555555"/>
          <w:sz w:val="18"/>
        </w:rPr>
        <w:t xml:space="preserve">Stand: 01.12.2021 (konsolidierte Textfassung, kein amtliches Inkrafttretensdatum)</w:t>
      </w:r>
    </w:p>
    <w:p>
      <w:r>
        <w:t xml:space="preserve">(1) In dem Erlaubnisbescheid sind die Personen nach § 12 Satz 1 Nummer 4 und 6 anzugeben.</w:t>
      </w:r>
    </w:p>
    <w:p>
      <w:r>
        <w:t xml:space="preserve">(2) Wechselt eine der in Absatz 1 genannten Personen, so hat der Inhaber der Erlaubnis diese Änderung der zuständigen Behörde unverzüglich anzuzeigen. Die Erlaubnis ist innerhalb eines Monats ab Eingang der Änderungsanzeige zu widerrufen, wenn auf Grund der angezeigten Änderungen die Voraussetzungen für die Erteilung der Erlaubnis nicht mehr vorliegen. Satz 1 gilt entsprechend für eine Änderung der nach § 12 Satz 1 Nummer 2 und 3 angegebenen Sachverhalte, es sei denn es ist ausgeschlossen, dass sich diese Änderung nachteilig auf das Wohlergehen der Tiere auswirkt.</w:t>
      </w:r>
    </w:p>
    <w:p>
      <w:r>
        <w:t xml:space="preserve">(3) Jede erhebliche Änderung der in § 12 Satz 1 Nummer 2 und 3 genannten Sachverhalte, die sich nachteilig auf das Wohlergehen der Tiere auswirken könnte, bedarf einer erneuten Erlaubnis.</w:t>
      </w:r>
    </w:p>
    <w:p>
      <w:r>
        <w:rPr>
          <w:color w:val="555555"/>
          <w:sz w:val="17"/>
        </w:rPr>
        <w:t xml:space="preserve">Zitiervorschlag: § 13 TierSchVersV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https://recht.nulegal.eu/gesetze/TierSchVersV/13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