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TierSchVersV — Erlaubnisvoraussetzungen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Erlaubnis nach § 11 Absatz 1 Satz 1 Nummer 1 des Tierschutzgesetzes darf nur erteilt werden, wenn</w:t>
      </w:r>
    </w:p>
    <w:p>
      <w:pPr>
        <w:ind w:left="420"/>
      </w:pPr>
      <w:r>
        <w:t xml:space="preserve">1. die für die Tätigkeit verantwortliche Person auf Grund ihrer Ausbildung oder ihres bisherigen beruflichen oder sonstigen Umgangs mit Tieren die für die Tätigkeit erforderlichen fachlichen Kenntnisse und Fähigkeiten hat,</w:t>
      </w:r>
    </w:p>
    <w:p>
      <w:pPr>
        <w:ind w:left="420"/>
      </w:pPr>
      <w:r>
        <w:t xml:space="preserve">2. die für die Tätigkeit verantwortliche Person die erforderliche Zuverlässigkeit hat,</w:t>
      </w:r>
    </w:p>
    <w:p>
      <w:pPr>
        <w:ind w:left="420"/>
      </w:pPr>
      <w:r>
        <w:t xml:space="preserve">3. in den der Tätigkeit dienenden Einrichtungen und Betrieben</w:t>
      </w:r>
    </w:p>
    <w:p>
      <w:pPr>
        <w:ind w:left="780"/>
      </w:pPr>
      <w:r>
        <w:t xml:space="preserve">a) geeignete Räumlichkeiten und Anlagen vorhanden sind und</w:t>
      </w:r>
    </w:p>
    <w:p>
      <w:pPr>
        <w:ind w:left="780"/>
      </w:pPr>
      <w:r>
        <w:t xml:space="preserve">b) ausreichend sachkundiges Personal zur Verfügung steht,</w:t>
      </w:r>
    </w:p>
    <w:p>
      <w:pPr>
        <w:ind w:left="420"/>
      </w:pPr>
      <w:r>
        <w:t xml:space="preserve">sodass eine den Anforderungen des § 2 des Tierschutzgesetzes und des § 1 Absatz 1 entsprechende Haltung der Tiere ermöglicht wird,</w:t>
      </w:r>
    </w:p>
    <w:p>
      <w:pPr>
        <w:ind w:left="420"/>
      </w:pPr>
      <w:r>
        <w:t xml:space="preserve">4. sichergestellt ist, dass die Personen nach § 3 Absatz 1 Satz 1 Nummer 1 und 2 jederzeit den Nachweis erbringen können, dass sie über die dort genannten Kenntnisse und Fähigkeiten verfügen,</w:t>
      </w:r>
    </w:p>
    <w:p>
      <w:pPr>
        <w:ind w:left="420"/>
      </w:pPr>
      <w:r>
        <w:t xml:space="preserve">5. die Einhaltung der §§ 4 bis 9 erwartet werden kann und</w:t>
      </w:r>
    </w:p>
    <w:p>
      <w:pPr>
        <w:ind w:left="420"/>
      </w:pPr>
      <w:r>
        <w:t xml:space="preserve">6. im Fall der Züchtung von Primaten der Züchter über ein Konzept verfügt, mit dessen Hilfe er den Anteil derjenigen Tiere erhöhen kann, die Nachkommen von in Gefangenschaft gezüchteten Primaten sind.</w:t>
      </w:r>
    </w:p>
    <w:p>
      <w:r>
        <w:t xml:space="preserve">Im Falle des Satzes 1 Nummer 1 sind die erforderlichen fachlichen Kenntnisse und Fähigkeiten auf Verlangen in einem Fachgespräch bei der zuständigen Behörde nachzuweisen.</w:t>
      </w:r>
    </w:p>
    <w:p>
      <w:r>
        <w:t xml:space="preserve">(2) Die Erlaubnis kann, soweit es zum Schutz der Tiere erforderlich ist, unter Befristungen, Bedingungen und Auflagen erteilt werden.</w:t>
      </w:r>
    </w:p>
    <w:p>
      <w:r>
        <w:rPr>
          <w:color w:val="555555"/>
          <w:sz w:val="17"/>
        </w:rPr>
        <w:t xml:space="preserve">Zitiervorschlag: § 11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