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TierSchTrV 2009</w:t>
      </w:r>
    </w:p>
    <w:p>
      <w:r>
        <w:rPr>
          <w:color w:val="555555"/>
          <w:sz w:val="18"/>
        </w:rPr>
        <w:t xml:space="preserve">Tierschutztransportverordnung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verordnen</w:t>
      </w:r>
    </w:p>
    <w:p>
      <w:pPr>
        <w:ind w:left="420"/>
      </w:pPr>
      <w:r>
        <w:t xml:space="preserve">– das Bundesministerium für Ernährung, Landwirtschaft und Verbraucherschutz auf Grund</w:t>
      </w:r>
    </w:p>
    <w:p>
      <w:pPr>
        <w:ind w:left="780"/>
      </w:pPr>
      <w:r>
        <w:t xml:space="preserve">– des § 2a Abs. 2 Satz 1 in Verbindung mit Satz 2 Nr. 1, 1a, 2, 3, 3a, 4, 5 und 6 des Tierschutzgesetzes in der Fassung der Bekanntmachung vom 18. Mai 2006 (BGBl. I S. 1206, 1313) im Einvernehmen mit dem Bundesministerium für Verkehr, Bau und Stadtentwicklung sowie</w:t>
      </w:r>
    </w:p>
    <w:p>
      <w:pPr>
        <w:ind w:left="780"/>
      </w:pPr>
      <w:r>
        <w:t xml:space="preserve">– des § 12 Abs. 2 Satz 1 Nr. 1 und 6, des § 16 Abs. 5 Satz 1 in Verbindung mit Satz 2 Nr. 2 und 3 und des § 18a Nr. 1 des Tierschutzgesetzes und</w:t>
      </w:r>
    </w:p>
    <w:p>
      <w:pPr>
        <w:ind w:left="420"/>
      </w:pPr>
      <w:r>
        <w:t xml:space="preserve">– das Bundesministerium der Finanzen auf Grund des § 14 Abs. 2 Satz 1 in Verbindung mit Satz 2 des Tierschutzgesetzes im Einvernehmen mit dem Bundesministerium für Ernährung, Landwirtschaft und Verbraucherschutz</w:t>
      </w:r>
    </w:p>
    <w:p>
      <w:r>
        <w:t xml:space="preserve">jeweils in Verbindung mit § 16b Abs. 1 Satz 2 des Tierschutzgesetzes nach Anhörung der Tierschutzkommission:</w:t>
      </w:r>
    </w:p>
    <w:p>
      <w:r>
        <w:rPr>
          <w:color w:val="555555"/>
          <w:sz w:val="17"/>
        </w:rPr>
        <w:t xml:space="preserve">Zitiervorschlag: Eingangsformel TierSchTrV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https://recht.nulegal.eu/gesetze/TierSchTrV%202009/eingangsformel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